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custom.xml" ContentType="application/vnd.openxmlformats-officedocument.custom-properties+xml"/>
  <Override PartName="/docProps/app.xml" ContentType="application/vnd.openxmlformats-officedocument.extended-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header1.xml" ContentType="application/vnd.openxmlformats-officedocument.wordprocessingml.header+xml"/>
  <Override PartName="/word/footer2.xml" ContentType="application/vnd.openxmlformats-officedocument.wordprocessingml.footer+xml"/>
  <Override PartName="/word/_rels/document.xml.rels" ContentType="application/vnd.openxmlformats-package.relationships+xml"/>
  <Override PartName="/word/header2.xml" ContentType="application/vnd.openxmlformats-officedocument.wordprocessingml.header+xml"/>
  <Override PartName="/word/footnotes.xml" ContentType="application/vnd.openxmlformats-officedocument.wordprocessingml.footnotes+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customXml/_rels/item5.xml.rels" ContentType="application/vnd.openxmlformats-package.relationships+xml"/>
  <Override PartName="/customXml/_rels/item4.xml.rels" ContentType="application/vnd.openxmlformats-package.relationships+xml"/>
  <Override PartName="/customXml/_rels/item3.xml.rels" ContentType="application/vnd.openxmlformats-package.relationships+xml"/>
  <Override PartName="/customXml/_rels/item2.xml.rels" ContentType="application/vnd.openxmlformats-package.relationships+xml"/>
  <Override PartName="/customXml/_rels/item1.xml.rels" ContentType="application/vnd.openxmlformats-package.relationships+xml"/>
  <Override PartName="/customXml/item1.xml" ContentType="application/xml"/>
  <Override PartName="/customXml/itemProps5.xml" ContentType="application/vnd.openxmlformats-officedocument.customXmlProperties+xml"/>
  <Override PartName="/customXml/itemProps1.xml" ContentType="application/vnd.openxmlformats-officedocument.customXmlProperties+xml"/>
  <Override PartName="/customXml/item2.xml" ContentType="application/xml"/>
  <Override PartName="/customXml/itemProps2.xml" ContentType="application/vnd.openxmlformats-officedocument.customXmlProperties+xml"/>
  <Override PartName="/customXml/item3.xml" ContentType="application/xml"/>
  <Override PartName="/customXml/itemProps3.xml" ContentType="application/vnd.openxmlformats-officedocument.customXmlProperties+xml"/>
  <Override PartName="/customXml/item4.xml" ContentType="application/xml"/>
  <Override PartName="/customXml/itemProps4.xml" ContentType="application/vnd.openxmlformats-officedocument.customXmlProperties+xml"/>
  <Override PartName="/customXml/item5.xml" ContentType="application/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Normal"/>
        <w:shd w:val="clear" w:color="auto" w:fill="FFFFFF"/>
        <w:tabs>
          <w:tab w:val="clear" w:pos="708"/>
          <w:tab w:val="left" w:pos="3148" w:leader="none"/>
          <w:tab w:val="center" w:pos="4818" w:leader="none"/>
          <w:tab w:val="left" w:pos="6926" w:leader="none"/>
        </w:tabs>
        <w:spacing w:lineRule="auto" w:line="240"/>
        <w:ind w:firstLine="709"/>
        <w:jc w:val="right"/>
        <w:rPr>
          <w:color w:val="000000"/>
        </w:rPr>
      </w:pPr>
      <w:r>
        <w:rPr>
          <w:color w:val="000000"/>
        </w:rPr>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Cs/>
          <w:color w:val="000000"/>
          <w:sz w:val="24"/>
          <w:szCs w:val="24"/>
        </w:rPr>
      </w:pPr>
      <w:r>
        <w:rPr>
          <w:b/>
          <w:bCs/>
          <w:color w:val="000000"/>
          <w:sz w:val="24"/>
          <w:szCs w:val="24"/>
        </w:rPr>
        <w:tab/>
      </w:r>
      <w:r>
        <w:rPr>
          <w:bCs/>
          <w:color w:val="000000"/>
          <w:sz w:val="24"/>
          <w:szCs w:val="24"/>
        </w:rPr>
        <w:tab/>
        <w:tab/>
        <w:tab/>
        <w:t>Утверждена</w:t>
      </w:r>
    </w:p>
    <w:p>
      <w:pPr>
        <w:pStyle w:val="Normal"/>
        <w:shd w:val="clear" w:color="auto" w:fill="FFFFFF"/>
        <w:tabs>
          <w:tab w:val="clear" w:pos="708"/>
          <w:tab w:val="left" w:pos="3148" w:leader="none"/>
          <w:tab w:val="center" w:pos="4818" w:leader="none"/>
          <w:tab w:val="left" w:pos="6926" w:leader="none"/>
        </w:tabs>
        <w:spacing w:lineRule="auto" w:line="240"/>
        <w:ind w:hanging="0" w:left="7230"/>
        <w:jc w:val="center"/>
        <w:rPr>
          <w:bCs/>
          <w:color w:val="000000"/>
          <w:sz w:val="24"/>
          <w:szCs w:val="24"/>
        </w:rPr>
      </w:pPr>
      <w:r>
        <w:rPr>
          <w:bCs/>
          <w:color w:val="000000"/>
          <w:sz w:val="24"/>
          <w:szCs w:val="24"/>
        </w:rPr>
        <w:t>приказом АО «ДРСК»</w:t>
      </w:r>
    </w:p>
    <w:p>
      <w:pPr>
        <w:pStyle w:val="Normal"/>
        <w:shd w:val="clear" w:color="auto" w:fill="FFFFFF"/>
        <w:tabs>
          <w:tab w:val="clear" w:pos="708"/>
          <w:tab w:val="left" w:pos="3148" w:leader="none"/>
          <w:tab w:val="center" w:pos="4818" w:leader="none"/>
          <w:tab w:val="left" w:pos="6926" w:leader="none"/>
        </w:tabs>
        <w:spacing w:lineRule="auto" w:line="240"/>
        <w:ind w:hanging="0" w:left="6926"/>
        <w:jc w:val="center"/>
        <w:rPr/>
      </w:pPr>
      <w:r>
        <w:rPr>
          <w:bCs/>
          <w:color w:val="000000"/>
          <w:sz w:val="24"/>
          <w:szCs w:val="24"/>
        </w:rPr>
        <w:t xml:space="preserve">от </w:t>
      </w:r>
      <w:r>
        <w:rPr>
          <w:bCs/>
          <w:i/>
          <w:color w:val="000000"/>
          <w:sz w:val="22"/>
          <w:szCs w:val="22"/>
        </w:rPr>
        <w:t xml:space="preserve"> 11.12.23 №528, в ред.приказов от 27.11.24 №№492, от 20.02.2025 №81, от 26.06.25 №285, </w:t>
      </w:r>
      <w:r>
        <w:rPr>
          <w:rFonts w:ascii="Liberation Serif" w:hAnsi="Liberation Serif"/>
          <w:b w:val="false"/>
          <w:bCs w:val="false"/>
          <w:i/>
          <w:color w:val="000000"/>
          <w:sz w:val="24"/>
          <w:szCs w:val="24"/>
          <w:shd w:fill="FFFFFF" w:val="clear"/>
        </w:rPr>
        <w:t>от 24.10.25 №470,</w:t>
      </w:r>
    </w:p>
    <w:p>
      <w:pPr>
        <w:pStyle w:val="Normal"/>
        <w:tabs>
          <w:tab w:val="clear" w:pos="708"/>
          <w:tab w:val="left" w:pos="3148" w:leader="none"/>
          <w:tab w:val="center" w:pos="4818" w:leader="none"/>
          <w:tab w:val="left" w:pos="6926" w:leader="none"/>
        </w:tabs>
        <w:ind w:hanging="0" w:left="6804" w:right="0"/>
        <w:jc w:val="center"/>
        <w:rPr>
          <w:b w:val="false"/>
          <w:bCs w:val="false"/>
          <w:color w:val="000000"/>
          <w:sz w:val="24"/>
          <w:szCs w:val="24"/>
        </w:rPr>
      </w:pPr>
      <w:r>
        <w:rPr>
          <w:rFonts w:cs="Liberation Serif;Times New Roman" w:ascii="Liberation Serif;Times New Roman" w:hAnsi="Liberation Serif;Times New Roman"/>
          <w:b w:val="false"/>
          <w:bCs w:val="false"/>
          <w:i w:val="false"/>
          <w:iCs w:val="false"/>
          <w:color w:val="000000"/>
          <w:sz w:val="24"/>
          <w:szCs w:val="24"/>
          <w:shd w:fill="FFFFFF" w:val="clear"/>
        </w:rPr>
        <w:t>от 11.06.2026 №257</w:t>
      </w:r>
    </w:p>
    <w:p>
      <w:pPr>
        <w:pStyle w:val="Normal"/>
        <w:shd w:val="clear" w:color="auto" w:fill="FFFFFF"/>
        <w:tabs>
          <w:tab w:val="clear" w:pos="708"/>
          <w:tab w:val="left" w:pos="3148" w:leader="none"/>
          <w:tab w:val="center" w:pos="4818" w:leader="none"/>
          <w:tab w:val="left" w:pos="6926" w:leader="none"/>
        </w:tabs>
        <w:spacing w:lineRule="auto" w:line="240"/>
        <w:ind w:firstLine="709"/>
        <w:jc w:val="right"/>
        <w:rPr>
          <w:bCs/>
          <w:color w:val="000000"/>
          <w:sz w:val="22"/>
          <w:szCs w:val="22"/>
        </w:rPr>
      </w:pPr>
      <w:r>
        <w:rPr>
          <w:bCs/>
          <w:color w:val="000000"/>
          <w:sz w:val="22"/>
          <w:szCs w:val="22"/>
        </w:rPr>
        <w:t xml:space="preserve">                 </w:t>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bCs/>
          <w:color w:val="000000"/>
          <w:sz w:val="24"/>
          <w:szCs w:val="24"/>
        </w:rPr>
      </w:pPr>
      <w:r>
        <w:rPr>
          <w:b/>
          <w:bCs/>
          <w:color w:val="000000"/>
          <w:sz w:val="24"/>
          <w:szCs w:val="24"/>
        </w:rPr>
        <w:t xml:space="preserve">Договор подряда </w:t>
      </w:r>
    </w:p>
    <w:p>
      <w:pPr>
        <w:pStyle w:val="Normal"/>
        <w:shd w:val="clear" w:color="auto" w:fill="FFFFFF"/>
        <w:tabs>
          <w:tab w:val="clear" w:pos="708"/>
          <w:tab w:val="left" w:pos="3148" w:leader="none"/>
          <w:tab w:val="center" w:pos="4818" w:leader="none"/>
          <w:tab w:val="left" w:pos="6926" w:leader="none"/>
        </w:tabs>
        <w:spacing w:lineRule="auto" w:line="240"/>
        <w:ind w:hanging="0"/>
        <w:jc w:val="center"/>
        <w:rPr>
          <w:b/>
          <w:sz w:val="24"/>
          <w:szCs w:val="24"/>
        </w:rPr>
      </w:pPr>
      <w:r>
        <w:rPr>
          <w:b/>
          <w:bCs/>
          <w:color w:val="000000"/>
          <w:sz w:val="24"/>
          <w:szCs w:val="24"/>
        </w:rPr>
        <w:t>на выполнение проектных работ № ____</w:t>
      </w:r>
    </w:p>
    <w:p>
      <w:pPr>
        <w:pStyle w:val="Normal"/>
        <w:shd w:val="clear" w:color="auto" w:fill="FFFFFF"/>
        <w:spacing w:lineRule="auto" w:line="240"/>
        <w:ind w:hanging="0"/>
        <w:rPr>
          <w:b/>
          <w:bCs/>
          <w:color w:val="000000"/>
          <w:sz w:val="24"/>
          <w:szCs w:val="24"/>
        </w:rPr>
      </w:pPr>
      <w:r>
        <w:rPr>
          <w:b/>
          <w:bCs/>
          <w:color w:val="000000"/>
          <w:sz w:val="24"/>
          <w:szCs w:val="24"/>
        </w:rPr>
      </w:r>
    </w:p>
    <w:p>
      <w:pPr>
        <w:pStyle w:val="Normal"/>
        <w:shd w:val="clear" w:color="auto" w:fill="FFFFFF"/>
        <w:tabs>
          <w:tab w:val="clear" w:pos="708"/>
          <w:tab w:val="right" w:pos="993" w:leader="none"/>
        </w:tabs>
        <w:spacing w:lineRule="auto" w:line="240"/>
        <w:ind w:hanging="0"/>
        <w:rPr>
          <w:bCs/>
          <w:color w:val="000000"/>
          <w:sz w:val="24"/>
          <w:szCs w:val="24"/>
        </w:rPr>
      </w:pPr>
      <w:r>
        <w:rPr>
          <w:bCs/>
          <w:color w:val="000000"/>
          <w:sz w:val="24"/>
          <w:szCs w:val="24"/>
        </w:rPr>
        <w:t>г. _________</w:t>
        <w:tab/>
        <w:tab/>
        <w:tab/>
        <w:tab/>
        <w:tab/>
        <w:tab/>
        <w:tab/>
        <w:t xml:space="preserve">                              «___»______ 20__ г.</w:t>
      </w:r>
    </w:p>
    <w:p>
      <w:pPr>
        <w:pStyle w:val="Normal"/>
        <w:shd w:val="clear" w:color="auto" w:fill="FFFFFF"/>
        <w:tabs>
          <w:tab w:val="clear" w:pos="708"/>
          <w:tab w:val="right" w:pos="9639" w:leader="none"/>
        </w:tabs>
        <w:spacing w:lineRule="auto" w:line="240"/>
        <w:ind w:firstLine="709"/>
        <w:rPr>
          <w:bCs/>
          <w:color w:val="000000"/>
          <w:sz w:val="24"/>
          <w:szCs w:val="24"/>
        </w:rPr>
      </w:pPr>
      <w:r>
        <w:rPr>
          <w:bCs/>
          <w:color w:val="000000"/>
          <w:sz w:val="24"/>
          <w:szCs w:val="24"/>
        </w:rPr>
      </w:r>
    </w:p>
    <w:p>
      <w:pPr>
        <w:pStyle w:val="BodyText3"/>
        <w:ind w:firstLine="709"/>
        <w:rPr>
          <w:color w:val="00000A"/>
        </w:rPr>
      </w:pPr>
      <w:r>
        <w:rPr>
          <w:b/>
          <w:color w:val="00000A"/>
          <w:lang w:val="ru-RU"/>
        </w:rPr>
        <w:t>А</w:t>
      </w:r>
      <w:r>
        <w:rPr>
          <w:b/>
          <w:color w:val="00000A"/>
        </w:rPr>
        <w:t>кционерное общество «</w:t>
      </w:r>
      <w:r>
        <w:rPr>
          <w:b/>
          <w:color w:val="00000A"/>
          <w:lang w:val="ru-RU"/>
        </w:rPr>
        <w:t>Дальневосточная распределительная сетевая компания</w:t>
      </w:r>
      <w:r>
        <w:rPr>
          <w:b/>
          <w:color w:val="00000A"/>
        </w:rPr>
        <w:t xml:space="preserve">» </w:t>
      </w:r>
      <w:r>
        <w:rPr>
          <w:color w:val="00000A"/>
        </w:rPr>
        <w:t>(АО «</w:t>
      </w:r>
      <w:r>
        <w:rPr>
          <w:color w:val="00000A"/>
          <w:lang w:val="ru-RU"/>
        </w:rPr>
        <w:t>ДРСК</w:t>
      </w:r>
      <w:r>
        <w:rPr>
          <w:color w:val="00000A"/>
        </w:rPr>
        <w:t xml:space="preserve">») (далее – «Заказчик»), в лице _______________ действующего на основании ______________, с одной стороны, и </w:t>
      </w:r>
    </w:p>
    <w:p>
      <w:pPr>
        <w:pStyle w:val="BodyText3"/>
        <w:ind w:firstLine="709"/>
        <w:rPr>
          <w:color w:val="00000A"/>
        </w:rPr>
      </w:pPr>
      <w:r>
        <w:rPr>
          <w:color w:val="00000A"/>
        </w:rPr>
        <w:t xml:space="preserve">________________________ (далее – «Подрядчик»), в лице ________________, действующего на основании ______________, с другой стороны, </w:t>
      </w:r>
    </w:p>
    <w:p>
      <w:pPr>
        <w:pStyle w:val="BodyText3"/>
        <w:ind w:firstLine="709"/>
        <w:rPr>
          <w:bCs/>
          <w:color w:val="00000A"/>
          <w:lang w:val="ru-RU"/>
        </w:rPr>
      </w:pPr>
      <w:r>
        <w:rPr>
          <w:color w:val="00000A"/>
        </w:rPr>
        <w:t xml:space="preserve">совместно в дальнейшем именуемые «Стороны», а по отдельности – «Сторона», </w:t>
      </w:r>
      <w:r>
        <w:rPr>
          <w:color w:val="00000A"/>
          <w:highlight w:val="lightGray"/>
        </w:rPr>
        <w:t>по результатам проведенной Заказчиком конкурентной процедуры по лоту №_________</w:t>
      </w:r>
      <w:r>
        <w:rPr>
          <w:bCs/>
          <w:color w:val="00000A"/>
          <w:highlight w:val="lightGray"/>
        </w:rPr>
        <w:t>,</w:t>
      </w:r>
      <w:r>
        <w:rPr>
          <w:highlight w:val="lightGray"/>
        </w:rPr>
        <w:t xml:space="preserve"> </w:t>
      </w:r>
      <w:r>
        <w:rPr>
          <w:color w:val="00000A"/>
          <w:highlight w:val="lightGray"/>
          <w:lang w:val="ru-RU"/>
        </w:rPr>
        <w:t>и</w:t>
      </w:r>
      <w:r>
        <w:rPr>
          <w:highlight w:val="lightGray"/>
          <w:lang w:val="ru-RU"/>
        </w:rPr>
        <w:t xml:space="preserve"> </w:t>
      </w:r>
      <w:r>
        <w:rPr>
          <w:bCs/>
          <w:color w:val="00000A"/>
          <w:highlight w:val="lightGray"/>
        </w:rPr>
        <w:t>на основании Протокола</w:t>
      </w:r>
      <w:r>
        <w:rPr>
          <w:bCs/>
          <w:color w:val="00000A"/>
          <w:highlight w:val="lightGray"/>
          <w:lang w:val="ru-RU"/>
        </w:rPr>
        <w:t xml:space="preserve"> </w:t>
      </w:r>
      <w:r>
        <w:rPr>
          <w:bCs/>
          <w:color w:val="00000A"/>
          <w:highlight w:val="lightGray"/>
        </w:rPr>
        <w:t>№_______ от «___»__________ года</w:t>
      </w:r>
      <w:r>
        <w:rPr>
          <w:bCs/>
          <w:color w:val="00000A"/>
          <w:highlight w:val="lightGray"/>
          <w:lang w:val="ru-RU"/>
        </w:rPr>
        <w:t>,</w:t>
      </w:r>
    </w:p>
    <w:p>
      <w:pPr>
        <w:pStyle w:val="BodyText3"/>
        <w:ind w:firstLine="709"/>
        <w:rPr>
          <w:color w:val="00000A"/>
          <w:lang w:val="ru-RU"/>
        </w:rPr>
      </w:pPr>
      <w:r>
        <w:rPr>
          <w:color w:val="00000A"/>
        </w:rPr>
        <w:t>заключили настоящий договор (далее – «Договор») о нижеследующем:</w:t>
      </w:r>
    </w:p>
    <w:p>
      <w:pPr>
        <w:pStyle w:val="ListParagraph"/>
        <w:shd w:val="clear" w:color="auto" w:fill="FFFFFF"/>
        <w:tabs>
          <w:tab w:val="clear" w:pos="708"/>
          <w:tab w:val="left" w:pos="284" w:leader="none"/>
        </w:tabs>
        <w:ind w:firstLine="709" w:left="0"/>
        <w:jc w:val="center"/>
        <w:rPr>
          <w:b/>
          <w:bCs/>
        </w:rPr>
      </w:pPr>
      <w:r>
        <w:rPr>
          <w:b/>
          <w:bCs/>
        </w:rPr>
      </w:r>
    </w:p>
    <w:p>
      <w:pPr>
        <w:pStyle w:val="ListParagraph"/>
        <w:shd w:val="clear" w:color="auto" w:fill="FFFFFF"/>
        <w:tabs>
          <w:tab w:val="clear" w:pos="708"/>
          <w:tab w:val="left" w:pos="284" w:leader="none"/>
        </w:tabs>
        <w:ind w:firstLine="709" w:left="0"/>
        <w:jc w:val="center"/>
        <w:rPr>
          <w:b/>
          <w:bCs/>
        </w:rPr>
      </w:pPr>
      <w:r>
        <w:rPr>
          <w:b/>
          <w:bCs/>
        </w:rPr>
        <w:t>Термины и определения</w:t>
      </w:r>
    </w:p>
    <w:p>
      <w:pPr>
        <w:pStyle w:val="BodyText3"/>
        <w:ind w:firstLine="709"/>
        <w:rPr>
          <w:color w:val="00000A"/>
          <w:lang w:val="ru-RU"/>
        </w:rPr>
      </w:pPr>
      <w:r>
        <w:rPr>
          <w:color w:val="00000A"/>
          <w:lang w:val="ru-RU"/>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pPr>
        <w:pStyle w:val="ListParagraph"/>
        <w:widowControl w:val="false"/>
        <w:shd w:val="clear" w:color="auto" w:fill="FFFFFF"/>
        <w:tabs>
          <w:tab w:val="clear" w:pos="708"/>
          <w:tab w:val="left" w:pos="567" w:leader="none"/>
          <w:tab w:val="left" w:pos="1134" w:leader="none"/>
        </w:tabs>
        <w:overflowPunct w:val="true"/>
        <w:ind w:firstLine="709" w:left="0"/>
        <w:jc w:val="both"/>
        <w:textAlignment w:val="baseline"/>
        <w:rPr>
          <w:lang w:eastAsia="en-US"/>
        </w:rPr>
      </w:pPr>
      <w:r>
        <w:rPr>
          <w:b/>
          <w:lang w:eastAsia="en-US"/>
        </w:rPr>
        <w:t>«Договор»</w:t>
      </w:r>
      <w:r>
        <w:rPr>
          <w:lang w:eastAsia="en-US"/>
        </w:rPr>
        <w:t xml:space="preserve"> – настоящий договор, подписанный Заказчиком и Подрядчиком, включая все Приложения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pPr>
        <w:pStyle w:val="ListParagraph"/>
        <w:widowControl w:val="false"/>
        <w:shd w:val="clear" w:color="auto" w:fill="FFFFFF"/>
        <w:tabs>
          <w:tab w:val="clear" w:pos="708"/>
          <w:tab w:val="left" w:pos="567" w:leader="none"/>
          <w:tab w:val="left" w:pos="1134" w:leader="none"/>
        </w:tabs>
        <w:overflowPunct w:val="true"/>
        <w:ind w:firstLine="709" w:left="0"/>
        <w:jc w:val="both"/>
        <w:textAlignment w:val="baseline"/>
        <w:rPr>
          <w:highlight w:val="lightGray"/>
          <w:lang w:eastAsia="en-US"/>
        </w:rPr>
      </w:pPr>
      <w:r>
        <w:rPr>
          <w:b/>
          <w:lang w:eastAsia="en-US"/>
        </w:rPr>
        <w:t>«Коммерческая тайна»</w:t>
      </w:r>
      <w:r>
        <w:rPr>
          <w:lang w:eastAsia="en-US"/>
        </w:rPr>
        <w:t xml:space="preserve"> – режим конфиденциальности информации, позволяющий 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или получить иную коммерческую выгоду. </w:t>
      </w:r>
    </w:p>
    <w:p>
      <w:pPr>
        <w:pStyle w:val="ListParagraph"/>
        <w:widowControl w:val="false"/>
        <w:shd w:val="clear" w:color="auto" w:fill="FFFFFF"/>
        <w:tabs>
          <w:tab w:val="clear" w:pos="708"/>
          <w:tab w:val="left" w:pos="567" w:leader="none"/>
          <w:tab w:val="left" w:pos="1134" w:leader="none"/>
        </w:tabs>
        <w:overflowPunct w:val="true"/>
        <w:ind w:firstLine="709" w:left="0"/>
        <w:jc w:val="both"/>
        <w:textAlignment w:val="baseline"/>
        <w:rPr>
          <w:highlight w:val="lightGray"/>
          <w:lang w:eastAsia="en-US"/>
        </w:rPr>
      </w:pPr>
      <w:r>
        <w:rPr>
          <w:b/>
          <w:highlight w:val="lightGray"/>
          <w:lang w:eastAsia="en-US"/>
        </w:rPr>
        <w:t xml:space="preserve">«Организация по проведению государственной экспертизы» </w:t>
      </w:r>
      <w:r>
        <w:rPr>
          <w:highlight w:val="lightGray"/>
          <w:lang w:eastAsia="en-US"/>
        </w:rPr>
        <w:t xml:space="preserve">– уполномоченные на проведение государственной экспертизы в отношении Проектной документации и (или) Результатов Инженерных изысканий федеральный орган исполнительной власти, орган исполнительной власти субъекта Российской Федерации или подведомственные указанным органам государственные (бюджетные или автономные) учреждения. </w:t>
      </w:r>
    </w:p>
    <w:p>
      <w:pPr>
        <w:pStyle w:val="ListParagraph"/>
        <w:widowControl w:val="false"/>
        <w:shd w:val="clear" w:color="auto" w:fill="FFFFFF"/>
        <w:tabs>
          <w:tab w:val="clear" w:pos="708"/>
          <w:tab w:val="left" w:pos="567" w:leader="none"/>
          <w:tab w:val="left" w:pos="1134" w:leader="none"/>
        </w:tabs>
        <w:overflowPunct w:val="true"/>
        <w:ind w:firstLine="709" w:left="0"/>
        <w:jc w:val="both"/>
        <w:textAlignment w:val="baseline"/>
        <w:rPr>
          <w:highlight w:val="lightGray"/>
          <w:lang w:eastAsia="en-US"/>
        </w:rPr>
      </w:pPr>
      <w:r>
        <w:rPr>
          <w:highlight w:val="lightGray"/>
          <w:lang w:eastAsia="en-US"/>
        </w:rPr>
        <w:t>Наименование конкретного органа / учреждения определяется в соответствии с законодательством Российской Федерации о градостроительной деятельности и указывается в Техническом задании (Приложение № 1 к Договору)</w:t>
      </w:r>
      <w:r>
        <w:rPr>
          <w:rStyle w:val="FootnoteReference"/>
          <w:highlight w:val="lightGray"/>
          <w:lang w:eastAsia="en-US"/>
        </w:rPr>
        <w:footnoteReference w:id="2"/>
      </w:r>
      <w:r>
        <w:rPr>
          <w:highlight w:val="lightGray"/>
          <w:lang w:eastAsia="en-US"/>
        </w:rPr>
        <w:t>.</w:t>
      </w:r>
    </w:p>
    <w:p>
      <w:pPr>
        <w:pStyle w:val="ListParagraph"/>
        <w:widowControl w:val="false"/>
        <w:shd w:val="clear" w:color="auto" w:fill="FFFFFF"/>
        <w:tabs>
          <w:tab w:val="clear" w:pos="708"/>
          <w:tab w:val="left" w:pos="567" w:leader="none"/>
          <w:tab w:val="left" w:pos="1134" w:leader="none"/>
        </w:tabs>
        <w:overflowPunct w:val="true"/>
        <w:ind w:firstLine="709" w:left="0"/>
        <w:jc w:val="both"/>
        <w:textAlignment w:val="baseline"/>
        <w:rPr>
          <w:lang w:eastAsia="en-US"/>
        </w:rPr>
      </w:pPr>
      <w:r>
        <w:rPr>
          <w:b/>
          <w:lang w:eastAsia="en-US"/>
        </w:rPr>
        <w:t xml:space="preserve">«Отказ от Договора» </w:t>
      </w:r>
      <w:r>
        <w:rPr>
          <w:lang w:eastAsia="en-US"/>
        </w:rPr>
        <w:t xml:space="preserve">– односторонний внесудебный отказ от исполнения Договора, совершенный Стороной в соответствии со статьей 450.1 Гражданского кодекса РФ (далее – «ГК РФ») в случаях, установленных Договором. </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sz w:val="24"/>
          <w:szCs w:val="24"/>
          <w:lang w:val="ru-RU" w:eastAsia="en-US"/>
        </w:rPr>
        <w:t>«Применимое право»</w:t>
      </w:r>
      <w:r>
        <w:rPr>
          <w:b w:val="false"/>
          <w:sz w:val="24"/>
          <w:szCs w:val="24"/>
          <w:lang w:val="ru-RU" w:eastAsia="en-US"/>
        </w:rPr>
        <w:t xml:space="preserve"> – обязательные для Сторон в процессе исполнения Договора 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а также строительные нормы и правила (СНиП), методическая документация в строительстве (МДС), руководящие документы (РД), своды правил по проектированию и строительству (СП), технические регламенты, национальные стандарты (ГОСТ Р), иные нормативно-правовые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 и противопожарной безопасности, производства работ и охраны труда персонала, относящиеся к Работам.</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highlight w:val="lightGray"/>
          <w:lang w:val="ru-RU" w:eastAsia="en-US"/>
        </w:rPr>
      </w:pPr>
      <w:r>
        <w:rPr>
          <w:sz w:val="24"/>
          <w:szCs w:val="24"/>
          <w:highlight w:val="lightGray"/>
          <w:lang w:val="ru-RU" w:eastAsia="en-US"/>
        </w:rPr>
        <w:t>«Проектная документация»</w:t>
      </w:r>
      <w:r>
        <w:rPr>
          <w:b w:val="false"/>
          <w:sz w:val="24"/>
          <w:szCs w:val="24"/>
          <w:highlight w:val="lightGray"/>
          <w:lang w:val="ru-RU" w:eastAsia="en-US"/>
        </w:rPr>
        <w:t xml:space="preserve"> – совокупность текстовых и графических (в виде карт (схем)) документов и материалов, определяющих архитектурные, функционально-технологические, конструктивные и инженерно-технические решения для обеспечения строительства, реконструкции, модернизации, технического перевооружения объектов капитального строительства, их частей. </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highlight w:val="lightGray"/>
          <w:lang w:val="ru-RU" w:eastAsia="en-US"/>
        </w:rPr>
      </w:pPr>
      <w:r>
        <w:rPr>
          <w:b w:val="false"/>
          <w:sz w:val="24"/>
          <w:szCs w:val="24"/>
          <w:highlight w:val="lightGray"/>
          <w:lang w:val="ru-RU" w:eastAsia="en-US"/>
        </w:rPr>
        <w:t xml:space="preserve">Состав разделов Проектной документации определяется Применимым правом и Техническим заданием. </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b w:val="false"/>
          <w:sz w:val="24"/>
          <w:szCs w:val="24"/>
          <w:highlight w:val="lightGray"/>
          <w:lang w:val="ru-RU" w:eastAsia="en-US"/>
        </w:rPr>
        <w:t>В состав Проектной документации может включаться также иная документация, необходимая для выполнения Работ и эксплуатации объекта капитального строительства, разработанная, в том числе, на основании Технического задания Заказчика.</w:t>
      </w:r>
    </w:p>
    <w:p>
      <w:pPr>
        <w:pStyle w:val="Heading3"/>
        <w:keepNext w:val="false"/>
        <w:widowControl w:val="false"/>
        <w:tabs>
          <w:tab w:val="clear" w:pos="708"/>
          <w:tab w:val="left" w:pos="567" w:leader="none"/>
        </w:tabs>
        <w:overflowPunct w:val="true"/>
        <w:spacing w:before="0" w:after="0"/>
        <w:ind w:firstLine="709"/>
        <w:jc w:val="both"/>
        <w:textAlignment w:val="baseline"/>
        <w:rPr>
          <w:sz w:val="24"/>
          <w:szCs w:val="24"/>
          <w:lang w:eastAsia="ru-RU"/>
        </w:rPr>
      </w:pPr>
      <w:r>
        <w:rPr>
          <w:sz w:val="24"/>
          <w:szCs w:val="24"/>
          <w:lang w:val="ru-RU" w:eastAsia="en-US"/>
        </w:rPr>
        <w:t>«Работы»</w:t>
      </w:r>
      <w:r>
        <w:rPr>
          <w:b w:val="false"/>
          <w:sz w:val="24"/>
          <w:szCs w:val="24"/>
          <w:lang w:val="ru-RU" w:eastAsia="en-US"/>
        </w:rPr>
        <w:t xml:space="preserve"> – все выполняемые Подрядчиком на свой риск, с использованием своих и / или привлеченных за свой счет сил и средств (оборудования, инструмента), в соответствии с условиями Договора и Применимым правом работы, в том числе: работы по исправлению</w:t>
      </w:r>
      <w:r>
        <w:rPr>
          <w:sz w:val="24"/>
          <w:szCs w:val="24"/>
          <w:lang w:eastAsia="ru-RU"/>
        </w:rPr>
        <w:t xml:space="preserve"> </w:t>
      </w:r>
      <w:r>
        <w:rPr>
          <w:b w:val="false"/>
          <w:sz w:val="24"/>
          <w:szCs w:val="24"/>
          <w:lang w:val="ru-RU" w:eastAsia="ru-RU"/>
        </w:rPr>
        <w:t>выявленных</w:t>
      </w:r>
      <w:r>
        <w:rPr>
          <w:sz w:val="24"/>
          <w:szCs w:val="24"/>
          <w:lang w:val="ru-RU" w:eastAsia="ru-RU"/>
        </w:rPr>
        <w:t xml:space="preserve"> </w:t>
      </w:r>
      <w:r>
        <w:rPr>
          <w:b w:val="false"/>
          <w:sz w:val="24"/>
          <w:szCs w:val="24"/>
          <w:lang w:eastAsia="ru-RU"/>
        </w:rPr>
        <w:t>недостатков, несоответстви</w:t>
      </w:r>
      <w:r>
        <w:rPr>
          <w:b w:val="false"/>
          <w:sz w:val="24"/>
          <w:szCs w:val="24"/>
          <w:lang w:val="ru-RU" w:eastAsia="ru-RU"/>
        </w:rPr>
        <w:t>й</w:t>
      </w:r>
      <w:r>
        <w:rPr>
          <w:b w:val="false"/>
          <w:sz w:val="24"/>
          <w:szCs w:val="24"/>
          <w:lang w:eastAsia="ru-RU"/>
        </w:rPr>
        <w:t xml:space="preserve"> в </w:t>
      </w:r>
      <w:r>
        <w:rPr>
          <w:b w:val="false"/>
          <w:sz w:val="24"/>
          <w:szCs w:val="24"/>
          <w:lang w:val="ru-RU" w:eastAsia="ru-RU"/>
        </w:rPr>
        <w:t>Результате</w:t>
      </w:r>
      <w:r>
        <w:rPr>
          <w:b w:val="false"/>
          <w:sz w:val="24"/>
          <w:szCs w:val="24"/>
          <w:lang w:eastAsia="ru-RU"/>
        </w:rPr>
        <w:t xml:space="preserve"> </w:t>
      </w:r>
      <w:r>
        <w:rPr>
          <w:b w:val="false"/>
          <w:sz w:val="24"/>
          <w:szCs w:val="24"/>
          <w:lang w:val="ru-RU" w:eastAsia="ru-RU"/>
        </w:rPr>
        <w:t>работ</w:t>
      </w:r>
      <w:r>
        <w:rPr>
          <w:b w:val="false"/>
          <w:sz w:val="24"/>
          <w:szCs w:val="24"/>
          <w:lang w:eastAsia="ru-RU"/>
        </w:rPr>
        <w:t xml:space="preserve">, а также любые иные работы, необходимые для выполнения Подрядчиком своих обязательств по Договору, независимо от </w:t>
      </w:r>
      <w:r>
        <w:rPr>
          <w:b w:val="false"/>
          <w:sz w:val="24"/>
          <w:szCs w:val="24"/>
          <w:lang w:val="ru-RU" w:eastAsia="ru-RU"/>
        </w:rPr>
        <w:t>их</w:t>
      </w:r>
      <w:r>
        <w:rPr>
          <w:b w:val="false"/>
          <w:sz w:val="24"/>
          <w:szCs w:val="24"/>
          <w:lang w:eastAsia="ru-RU"/>
        </w:rPr>
        <w:t xml:space="preserve"> прямо</w:t>
      </w:r>
      <w:r>
        <w:rPr>
          <w:b w:val="false"/>
          <w:sz w:val="24"/>
          <w:szCs w:val="24"/>
          <w:lang w:val="ru-RU" w:eastAsia="ru-RU"/>
        </w:rPr>
        <w:t>го указания</w:t>
      </w:r>
      <w:r>
        <w:rPr>
          <w:b w:val="false"/>
          <w:sz w:val="24"/>
          <w:szCs w:val="24"/>
          <w:lang w:eastAsia="ru-RU"/>
        </w:rPr>
        <w:t xml:space="preserve"> в Договоре.</w:t>
      </w:r>
      <w:r>
        <w:rPr>
          <w:sz w:val="24"/>
          <w:szCs w:val="24"/>
          <w:lang w:eastAsia="ru-RU"/>
        </w:rPr>
        <w:t xml:space="preserve"> </w:t>
      </w:r>
    </w:p>
    <w:p>
      <w:pPr>
        <w:pStyle w:val="Normal"/>
        <w:widowControl w:val="false"/>
        <w:tabs>
          <w:tab w:val="clear" w:pos="708"/>
          <w:tab w:val="left" w:pos="567" w:leader="none"/>
        </w:tabs>
        <w:spacing w:lineRule="auto" w:line="240"/>
        <w:ind w:firstLine="709"/>
        <w:rPr>
          <w:sz w:val="24"/>
          <w:szCs w:val="24"/>
        </w:rPr>
      </w:pPr>
      <w:r>
        <w:rPr>
          <w:sz w:val="24"/>
          <w:szCs w:val="24"/>
        </w:rPr>
        <w:t xml:space="preserve">Термин «Работы» включает в себя упомянутые в настоящем пункте обязанности Подрядчика независимо от возможного использования в тексте Договора терминов, обозначающих такие обязанности, совместно с термином «Работы». </w:t>
      </w:r>
    </w:p>
    <w:p>
      <w:pPr>
        <w:pStyle w:val="Normal"/>
        <w:widowControl w:val="false"/>
        <w:tabs>
          <w:tab w:val="clear" w:pos="708"/>
          <w:tab w:val="left" w:pos="567" w:leader="none"/>
        </w:tabs>
        <w:spacing w:lineRule="auto" w:line="240"/>
        <w:ind w:firstLine="709"/>
        <w:rPr>
          <w:sz w:val="24"/>
          <w:szCs w:val="24"/>
          <w:highlight w:val="lightGray"/>
          <w:lang w:eastAsia="en-US"/>
        </w:rPr>
      </w:pPr>
      <w:r>
        <w:rPr>
          <w:b/>
          <w:sz w:val="24"/>
          <w:szCs w:val="24"/>
          <w:highlight w:val="lightGray"/>
          <w:lang w:eastAsia="en-US"/>
        </w:rPr>
        <w:t xml:space="preserve"> </w:t>
      </w:r>
      <w:r>
        <w:rPr>
          <w:b/>
          <w:sz w:val="24"/>
          <w:szCs w:val="24"/>
          <w:highlight w:val="lightGray"/>
          <w:lang w:eastAsia="en-US"/>
        </w:rPr>
        <w:t xml:space="preserve">«Рабочая документация» – </w:t>
      </w:r>
      <w:r>
        <w:rPr>
          <w:sz w:val="24"/>
          <w:szCs w:val="24"/>
          <w:highlight w:val="lightGray"/>
          <w:lang w:eastAsia="en-US"/>
        </w:rPr>
        <w:t xml:space="preserve">совокупность текстовых и графических документов на русском языке, обеспечивающих реализацию принятых в утвержденной Проектной документации технических решений объекта капитального строительства, необходимых для производства строительных и монтажных работ, обеспечения строительства оборудованием, изделиями и материалами и / или изготовления строительных изделий, содержащая: </w:t>
      </w:r>
    </w:p>
    <w:p>
      <w:pPr>
        <w:pStyle w:val="ListParagraph"/>
        <w:widowControl w:val="false"/>
        <w:numPr>
          <w:ilvl w:val="0"/>
          <w:numId w:val="4"/>
        </w:numPr>
        <w:shd w:val="clear" w:color="auto" w:fill="FFFFFF"/>
        <w:tabs>
          <w:tab w:val="clear" w:pos="708"/>
          <w:tab w:val="left" w:pos="567" w:leader="none"/>
          <w:tab w:val="left" w:pos="1134" w:leader="none"/>
        </w:tabs>
        <w:overflowPunct w:val="true"/>
        <w:ind w:firstLine="709" w:left="0"/>
        <w:jc w:val="both"/>
        <w:textAlignment w:val="baseline"/>
        <w:rPr>
          <w:highlight w:val="lightGray"/>
          <w:lang w:eastAsia="en-US"/>
        </w:rPr>
      </w:pPr>
      <w:r>
        <w:rPr>
          <w:highlight w:val="lightGray"/>
          <w:lang w:eastAsia="en-US"/>
        </w:rPr>
        <w:t>рабочие чертежи основного комплекта, спецификации оборудования и изделий;</w:t>
      </w:r>
    </w:p>
    <w:p>
      <w:pPr>
        <w:pStyle w:val="ListParagraph"/>
        <w:widowControl w:val="false"/>
        <w:numPr>
          <w:ilvl w:val="0"/>
          <w:numId w:val="4"/>
        </w:numPr>
        <w:shd w:val="clear" w:color="auto" w:fill="FFFFFF"/>
        <w:tabs>
          <w:tab w:val="clear" w:pos="708"/>
          <w:tab w:val="left" w:pos="567" w:leader="none"/>
          <w:tab w:val="left" w:pos="1134" w:leader="none"/>
        </w:tabs>
        <w:overflowPunct w:val="true"/>
        <w:ind w:firstLine="709" w:left="0"/>
        <w:jc w:val="both"/>
        <w:textAlignment w:val="baseline"/>
        <w:rPr>
          <w:highlight w:val="lightGray"/>
          <w:lang w:eastAsia="en-US"/>
        </w:rPr>
      </w:pPr>
      <w:r>
        <w:rPr>
          <w:highlight w:val="lightGray"/>
          <w:lang w:eastAsia="en-US"/>
        </w:rPr>
        <w:t>документы, разработанные в дополнение к рабочим чертежам основного комплекта;</w:t>
      </w:r>
    </w:p>
    <w:p>
      <w:pPr>
        <w:pStyle w:val="ListParagraph"/>
        <w:widowControl w:val="false"/>
        <w:numPr>
          <w:ilvl w:val="0"/>
          <w:numId w:val="4"/>
        </w:numPr>
        <w:shd w:val="clear" w:color="auto" w:fill="FFFFFF"/>
        <w:tabs>
          <w:tab w:val="clear" w:pos="708"/>
          <w:tab w:val="left" w:pos="567" w:leader="none"/>
          <w:tab w:val="left" w:pos="1134" w:leader="none"/>
        </w:tabs>
        <w:overflowPunct w:val="true"/>
        <w:ind w:firstLine="709" w:left="0"/>
        <w:jc w:val="both"/>
        <w:textAlignment w:val="baseline"/>
        <w:rPr>
          <w:lang w:eastAsia="en-US"/>
        </w:rPr>
      </w:pPr>
      <w:r>
        <w:rPr>
          <w:highlight w:val="lightGray"/>
          <w:lang w:eastAsia="en-US"/>
        </w:rPr>
        <w:t>сметную документацию.</w:t>
      </w:r>
    </w:p>
    <w:p>
      <w:pPr>
        <w:pStyle w:val="Normal"/>
        <w:widowControl w:val="false"/>
        <w:tabs>
          <w:tab w:val="clear" w:pos="708"/>
          <w:tab w:val="left" w:pos="567" w:leader="none"/>
        </w:tabs>
        <w:spacing w:lineRule="auto" w:line="240"/>
        <w:ind w:firstLine="709"/>
        <w:rPr>
          <w:sz w:val="24"/>
          <w:szCs w:val="24"/>
        </w:rPr>
      </w:pPr>
      <w:r>
        <w:rPr>
          <w:b/>
          <w:sz w:val="24"/>
          <w:szCs w:val="24"/>
        </w:rPr>
        <w:t>«Рабочий день»</w:t>
      </w:r>
      <w:r>
        <w:rPr>
          <w:sz w:val="24"/>
          <w:szCs w:val="24"/>
        </w:rPr>
        <w:t xml:space="preserve"> – день, который в соответствии с Применимым правом, является рабочим днем в Российской Федерации.</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sz w:val="24"/>
          <w:szCs w:val="24"/>
          <w:lang w:val="ru-RU" w:eastAsia="en-US"/>
        </w:rPr>
        <w:t>«Результат Работ»</w:t>
      </w:r>
      <w:r>
        <w:rPr>
          <w:b w:val="false"/>
          <w:sz w:val="24"/>
          <w:szCs w:val="24"/>
          <w:lang w:val="ru-RU" w:eastAsia="en-US"/>
        </w:rPr>
        <w:t xml:space="preserve"> – выполненная Подрядчиком и принятая Заказчиком по Акту сдачи-приемки выполненных работ Проектная документация</w:t>
      </w:r>
      <w:r>
        <w:rPr>
          <w:b w:val="false"/>
          <w:sz w:val="24"/>
          <w:szCs w:val="24"/>
          <w:highlight w:val="lightGray"/>
          <w:lang w:val="ru-RU" w:eastAsia="en-US"/>
        </w:rPr>
        <w:t>, получившая положительное заключение государственной экспертизы</w:t>
      </w:r>
      <w:r>
        <w:rPr>
          <w:rStyle w:val="FootnoteReference"/>
          <w:b w:val="false"/>
          <w:sz w:val="24"/>
          <w:szCs w:val="24"/>
          <w:highlight w:val="lightGray"/>
          <w:lang w:val="ru-RU" w:eastAsia="en-US"/>
        </w:rPr>
        <w:footnoteReference w:id="3"/>
      </w:r>
      <w:r>
        <w:rPr>
          <w:b w:val="false"/>
          <w:sz w:val="24"/>
          <w:szCs w:val="24"/>
          <w:lang w:val="ru-RU" w:eastAsia="en-US"/>
        </w:rPr>
        <w:t xml:space="preserve"> </w:t>
      </w:r>
      <w:r>
        <w:rPr>
          <w:b w:val="false"/>
          <w:sz w:val="24"/>
          <w:szCs w:val="24"/>
          <w:highlight w:val="lightGray"/>
          <w:lang w:val="ru-RU" w:eastAsia="en-US"/>
        </w:rPr>
        <w:t>и / или Рабочая документация</w:t>
      </w:r>
      <w:r>
        <w:rPr>
          <w:b w:val="false"/>
          <w:sz w:val="24"/>
          <w:szCs w:val="24"/>
          <w:lang w:val="ru-RU" w:eastAsia="en-US"/>
        </w:rPr>
        <w:t xml:space="preserve"> или иной результат Работ, соответствующий требованиям, изложенным в Техническом задании (Приложение № 1 к Договору), в том числе требованиям к отчетным документам (состав, количество, формат, носитель и т.д.), подлежащим передаче Подрядчиком Заказчику в составе Результата Работ.</w:t>
      </w:r>
    </w:p>
    <w:p>
      <w:pPr>
        <w:pStyle w:val="Normal"/>
        <w:spacing w:lineRule="auto" w:line="240"/>
        <w:ind w:firstLine="709"/>
        <w:rPr>
          <w:sz w:val="24"/>
          <w:szCs w:val="24"/>
          <w:lang w:val="x-none" w:eastAsia="en-US"/>
        </w:rPr>
      </w:pPr>
      <w:r>
        <w:rPr>
          <w:b/>
          <w:sz w:val="24"/>
          <w:szCs w:val="24"/>
          <w:shd w:fill="auto" w:val="clear"/>
          <w:lang w:eastAsia="en-US"/>
        </w:rPr>
        <w:t xml:space="preserve">«Субъект </w:t>
      </w:r>
      <w:r>
        <w:rPr>
          <w:b/>
          <w:sz w:val="24"/>
          <w:szCs w:val="24"/>
          <w:lang w:eastAsia="en-US"/>
        </w:rPr>
        <w:t>МСП»</w:t>
      </w:r>
      <w:r>
        <w:rPr>
          <w:sz w:val="24"/>
          <w:szCs w:val="24"/>
          <w:lang w:eastAsia="en-US"/>
        </w:rPr>
        <w:t xml:space="preserve"> – субъект малого и среднего предпринимательства.</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sz w:val="24"/>
          <w:szCs w:val="24"/>
          <w:lang w:val="ru-RU" w:eastAsia="en-US"/>
        </w:rPr>
        <w:t>«Смета»</w:t>
      </w:r>
      <w:r>
        <w:rPr>
          <w:b w:val="false"/>
          <w:sz w:val="24"/>
          <w:szCs w:val="24"/>
          <w:lang w:val="ru-RU" w:eastAsia="en-US"/>
        </w:rPr>
        <w:t xml:space="preserve"> – сметный расчет стоимости Работ, составляемый в соответствии с требованиями Заказчика к оформлению и составлению сметной документации на выполнение проектных работ и не подлежащий корректировке после приемки Заказчиком Результата работ по Договору.</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sz w:val="24"/>
          <w:szCs w:val="24"/>
          <w:lang w:val="ru-RU" w:eastAsia="en-US"/>
        </w:rPr>
        <w:t>«Сводная смета»</w:t>
      </w:r>
      <w:r>
        <w:rPr>
          <w:b w:val="false"/>
          <w:sz w:val="24"/>
          <w:szCs w:val="24"/>
          <w:lang w:val="ru-RU" w:eastAsia="en-US"/>
        </w:rPr>
        <w:t xml:space="preserve"> – сметный расчет, составляемый в случае, если комплект сметной документации на выполнение Работ по Договору включает в себя несколько Смет.</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sz w:val="24"/>
          <w:szCs w:val="24"/>
          <w:lang w:val="ru-RU" w:eastAsia="en-US"/>
        </w:rPr>
        <w:t>«Субподрядчик»</w:t>
      </w:r>
      <w:r>
        <w:rPr>
          <w:b w:val="false"/>
          <w:sz w:val="24"/>
          <w:szCs w:val="24"/>
          <w:lang w:val="ru-RU" w:eastAsia="en-US"/>
        </w:rPr>
        <w:t xml:space="preserve"> – юридическое лицо или индивидуальный предприниматель, нанятые Подрядчиком посредством заключения договора для выполнения части обязательств Подрядчика по Договору, в том числе для выполнения любых Работ по Договору.</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sz w:val="24"/>
          <w:szCs w:val="24"/>
          <w:lang w:val="ru-RU" w:eastAsia="en-US"/>
        </w:rPr>
        <w:t>«Техническое задание»</w:t>
      </w:r>
      <w:r>
        <w:rPr>
          <w:b w:val="false"/>
          <w:sz w:val="24"/>
          <w:szCs w:val="24"/>
          <w:lang w:val="ru-RU" w:eastAsia="en-US"/>
        </w:rPr>
        <w:t xml:space="preserve"> – документ, содержащий исходные данные, объем и состав Работ по Договору, а также требования Заказчика к выполнению Подрядчиком Работ по Договору в целом.</w:t>
      </w:r>
    </w:p>
    <w:p>
      <w:pPr>
        <w:pStyle w:val="Heading3"/>
        <w:widowControl w:val="false"/>
        <w:tabs>
          <w:tab w:val="clear" w:pos="708"/>
          <w:tab w:val="left" w:pos="567" w:leader="none"/>
        </w:tabs>
        <w:overflowPunct w:val="true"/>
        <w:spacing w:before="0" w:after="0"/>
        <w:ind w:firstLine="709"/>
        <w:jc w:val="both"/>
        <w:textAlignment w:val="baseline"/>
        <w:rPr>
          <w:highlight w:val="none"/>
          <w:shd w:fill="FFFF00" w:val="clear"/>
        </w:rPr>
      </w:pPr>
      <w:r>
        <w:rPr>
          <w:rFonts w:ascii="Liberation Serif" w:hAnsi="Liberation Serif"/>
          <w:b/>
          <w:bCs/>
          <w:sz w:val="24"/>
          <w:szCs w:val="24"/>
          <w:shd w:fill="FFFF00" w:val="clear"/>
          <w:lang w:val="ru-RU" w:eastAsia="en-US"/>
        </w:rPr>
        <w:t xml:space="preserve">«Универсальный передаточный документ (УПД)» </w:t>
      </w:r>
      <w:r>
        <w:rPr>
          <w:rFonts w:ascii="Liberation Serif" w:hAnsi="Liberation Serif"/>
          <w:b w:val="false"/>
          <w:bCs w:val="false"/>
          <w:sz w:val="24"/>
          <w:szCs w:val="24"/>
          <w:shd w:fill="FFFF00" w:val="clear"/>
          <w:lang w:val="ru-RU" w:eastAsia="en-US"/>
        </w:rPr>
        <w:t>– форма докуме</w:t>
      </w:r>
      <w:r>
        <w:rPr>
          <w:rFonts w:ascii="Liberation Serif" w:hAnsi="Liberation Serif"/>
          <w:b w:val="false"/>
          <w:sz w:val="24"/>
          <w:szCs w:val="24"/>
          <w:shd w:fill="FFFF00" w:val="clear"/>
          <w:lang w:val="ru-RU" w:eastAsia="en-US"/>
        </w:rPr>
        <w:t>нта, рекомендованная для применения письмом ФНС России от 21.10.2013 No ММВ-20-3/96@ (объединяет реквизиты счета-фактуры и первичного документа о передаче товаров, работ, услуг).</w:t>
      </w:r>
    </w:p>
    <w:p>
      <w:pPr>
        <w:pStyle w:val="Heading3"/>
        <w:keepNext w:val="false"/>
        <w:widowControl w:val="false"/>
        <w:tabs>
          <w:tab w:val="clear" w:pos="708"/>
          <w:tab w:val="left" w:pos="567" w:leader="none"/>
        </w:tabs>
        <w:overflowPunct w:val="true"/>
        <w:spacing w:before="0" w:after="0"/>
        <w:ind w:firstLine="709"/>
        <w:jc w:val="both"/>
        <w:textAlignment w:val="baseline"/>
        <w:rPr>
          <w:b w:val="false"/>
          <w:sz w:val="24"/>
          <w:szCs w:val="24"/>
          <w:lang w:val="ru-RU" w:eastAsia="en-US"/>
        </w:rPr>
      </w:pPr>
      <w:r>
        <w:rPr>
          <w:sz w:val="24"/>
          <w:szCs w:val="24"/>
          <w:lang w:val="ru-RU" w:eastAsia="en-US"/>
        </w:rPr>
        <w:t xml:space="preserve"> </w:t>
      </w:r>
      <w:r>
        <w:rPr>
          <w:sz w:val="24"/>
          <w:szCs w:val="24"/>
          <w:lang w:val="ru-RU" w:eastAsia="en-US"/>
        </w:rPr>
        <w:t>«Цена Договора»</w:t>
      </w:r>
      <w:r>
        <w:rPr>
          <w:b w:val="false"/>
          <w:sz w:val="24"/>
          <w:szCs w:val="24"/>
          <w:lang w:val="ru-RU" w:eastAsia="en-US"/>
        </w:rPr>
        <w:t xml:space="preserve"> – определяемая в соответствии с разделом 3 Договора сумма, которую Заказчик обязуется уплатить Подрядчику в порядке и на условиях, установленных Договором, включающая компенсацию всех издержек Подрядчика и причитающееся ему вознаграждение, а также инфляционные риски</w:t>
      </w:r>
      <w:r>
        <w:rPr>
          <w:sz w:val="24"/>
          <w:szCs w:val="24"/>
        </w:rPr>
        <w:t xml:space="preserve"> </w:t>
      </w:r>
      <w:r>
        <w:rPr>
          <w:b w:val="false"/>
          <w:sz w:val="24"/>
          <w:szCs w:val="24"/>
          <w:lang w:val="ru-RU" w:eastAsia="en-US"/>
        </w:rPr>
        <w:t xml:space="preserve">на весь период действия Договора. </w:t>
      </w:r>
    </w:p>
    <w:p>
      <w:pPr>
        <w:pStyle w:val="Normal"/>
        <w:spacing w:lineRule="auto" w:line="240"/>
        <w:ind w:firstLine="709"/>
        <w:rPr>
          <w:sz w:val="24"/>
          <w:szCs w:val="24"/>
          <w:lang w:val="x-none" w:eastAsia="x-none"/>
        </w:rPr>
      </w:pPr>
      <w:r>
        <w:rPr>
          <w:sz w:val="24"/>
          <w:szCs w:val="24"/>
          <w:lang w:val="x-none" w:eastAsia="x-none"/>
        </w:rPr>
      </w:r>
    </w:p>
    <w:p>
      <w:pPr>
        <w:pStyle w:val="ListParagraph"/>
        <w:numPr>
          <w:ilvl w:val="0"/>
          <w:numId w:val="2"/>
        </w:numPr>
        <w:shd w:val="clear" w:color="auto" w:fill="FFFFFF"/>
        <w:tabs>
          <w:tab w:val="clear" w:pos="708"/>
          <w:tab w:val="left" w:pos="284" w:leader="none"/>
        </w:tabs>
        <w:ind w:hanging="0" w:left="0"/>
        <w:jc w:val="center"/>
        <w:rPr>
          <w:b/>
          <w:bCs/>
        </w:rPr>
      </w:pPr>
      <w:r>
        <w:rPr>
          <w:b/>
          <w:bCs/>
        </w:rPr>
        <w:t>Предмет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0" w:name="_Ref361410951"/>
      <w:r>
        <w:rPr>
          <w:bCs/>
        </w:rPr>
        <w:t xml:space="preserve">Подрядчик обязуется по заданию Заказчика в соответствии с Техническим заданием (Приложение № 1 к Договору) выполнить работы по </w:t>
      </w:r>
      <w:bookmarkEnd w:id="0"/>
      <w:r>
        <w:rPr>
          <w:b/>
          <w:bCs/>
          <w:i/>
          <w:iCs/>
        </w:rPr>
        <w:t xml:space="preserve">«ОКПД2  71.12.13.000 Выполнение проектных работ Строительство двух КЛ 0,4 кВ с одним кабелем в траншее общей  протяженностью 0,440 км от ТП-4; Строительство двух КЛ 0,4 кВ с одним кабелем в траншее общей  протяженностью 0,640 км от ТП-222; Реконструкция ТП № 4 с монтажом линейной панели ЩО-70 в РУ-0,4 кВ в г.Биробиджан для технологического присоединения потребителя ООО "СЗ Красноярские инвестиции" (№ ТПр 52/26)» </w:t>
      </w:r>
      <w:r>
        <w:rPr>
          <w:bCs/>
        </w:rPr>
        <w:t>(далее по тексту – «Работы»), а также сдать Результат работ Заказчику, а Заказчик обязуется создать Подрядчику указанные в Договоре условия для выполнения Работ, принять Результат работ и уплатить Цену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В состав Работ по Договору входят</w:t>
      </w:r>
      <w:r>
        <w:rPr>
          <w:rStyle w:val="FootnoteReference"/>
          <w:bCs/>
        </w:rPr>
        <w:footnoteReference w:id="4"/>
      </w:r>
      <w:r>
        <w:rPr>
          <w:bCs/>
        </w:rPr>
        <w:t>:</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Обследование</w:t>
      </w:r>
      <w:r>
        <w:rPr>
          <w:rStyle w:val="FootnoteReference"/>
          <w:bCs/>
          <w:highlight w:val="lightGray"/>
        </w:rPr>
        <w:footnoteReference w:id="5"/>
      </w:r>
      <w:r>
        <w:rPr>
          <w:bCs/>
          <w:highlight w:val="lightGray"/>
        </w:rPr>
        <w:t>;</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Разработка Проектной документации;</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Сопровождение получения положительного заключения государственной экспертизы в отношении Проектной документации в Организации по проведению государственной экспертизы</w:t>
      </w:r>
      <w:r>
        <w:rPr>
          <w:rStyle w:val="FootnoteReference"/>
          <w:bCs/>
          <w:highlight w:val="lightGray"/>
        </w:rPr>
        <w:footnoteReference w:id="6"/>
      </w:r>
      <w:r>
        <w:rPr>
          <w:bCs/>
          <w:highlight w:val="lightGray"/>
        </w:rPr>
        <w:t xml:space="preserve">; </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Сопровождение проведения проверки достоверности определения сметной стоимости строительства / реконструкции объекта капитального строительства в Организации по проведению государственной экспертизы</w:t>
      </w:r>
      <w:r>
        <w:rPr>
          <w:rStyle w:val="FootnoteReference"/>
          <w:bCs/>
          <w:highlight w:val="lightGray"/>
        </w:rPr>
        <w:footnoteReference w:id="7"/>
      </w:r>
      <w:r>
        <w:rPr>
          <w:bCs/>
          <w:highlight w:val="lightGray"/>
        </w:rPr>
        <w:t>;</w:t>
      </w:r>
    </w:p>
    <w:p>
      <w:pPr>
        <w:pStyle w:val="ListParagraph"/>
        <w:numPr>
          <w:ilvl w:val="2"/>
          <w:numId w:val="2"/>
        </w:numPr>
        <w:shd w:val="clear" w:color="auto" w:fill="FFFFFF"/>
        <w:tabs>
          <w:tab w:val="clear" w:pos="708"/>
          <w:tab w:val="left" w:pos="1418" w:leader="none"/>
        </w:tabs>
        <w:ind w:firstLine="709" w:left="0"/>
        <w:jc w:val="both"/>
        <w:rPr>
          <w:bCs/>
          <w:highlight w:val="lightGray"/>
        </w:rPr>
      </w:pPr>
      <w:r>
        <w:rPr>
          <w:bCs/>
          <w:highlight w:val="lightGray"/>
        </w:rPr>
        <w:t>Разработка Рабочей документации</w:t>
      </w:r>
      <w:r>
        <w:rPr>
          <w:highlight w:val="lightGray"/>
          <w:lang w:eastAsia="en-US"/>
        </w:rPr>
        <w:t>.</w:t>
      </w:r>
    </w:p>
    <w:p>
      <w:pPr>
        <w:pStyle w:val="ListParagraph"/>
        <w:numPr>
          <w:ilvl w:val="1"/>
          <w:numId w:val="2"/>
        </w:numPr>
        <w:shd w:val="clear" w:color="auto" w:fill="FFFFFF"/>
        <w:tabs>
          <w:tab w:val="clear" w:pos="708"/>
          <w:tab w:val="left" w:pos="1134" w:leader="none"/>
        </w:tabs>
        <w:ind w:firstLine="709" w:left="0"/>
        <w:jc w:val="both"/>
        <w:rPr>
          <w:bCs/>
        </w:rPr>
      </w:pPr>
      <w:r>
        <w:rPr>
          <w:bCs/>
        </w:rPr>
        <w:t>Объем и состав Работ по Договору определяется Техническим заданием (Приложение № 1 к Договору). Работы по Договору подлежат выполнению Подрядчиком в строгом соответствии с требованиями Применимого права и указаниями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Работы по Договору выполняются для нужд </w:t>
      </w:r>
      <w:r>
        <w:rPr>
          <w:bCs/>
          <w:shd w:fill="auto" w:val="clear"/>
        </w:rPr>
        <w:t>филиала АО «ДРСК» «ЭС ЕАО»</w:t>
      </w:r>
      <w:r>
        <w:rPr>
          <w:bCs/>
        </w:rPr>
        <w:t xml:space="preserve">. </w:t>
      </w:r>
    </w:p>
    <w:p>
      <w:pPr>
        <w:pStyle w:val="ListParagraph"/>
        <w:numPr>
          <w:ilvl w:val="1"/>
          <w:numId w:val="2"/>
        </w:numPr>
        <w:shd w:val="clear" w:color="auto" w:fill="FFFFFF"/>
        <w:tabs>
          <w:tab w:val="clear" w:pos="708"/>
          <w:tab w:val="left" w:pos="1134" w:leader="none"/>
        </w:tabs>
        <w:ind w:firstLine="709" w:left="0"/>
        <w:jc w:val="both"/>
        <w:rPr>
          <w:bCs/>
        </w:rPr>
      </w:pPr>
      <w:bookmarkStart w:id="1" w:name="_Ref361320424"/>
      <w:bookmarkEnd w:id="1"/>
      <w:r>
        <w:rPr>
          <w:bCs/>
        </w:rPr>
        <w:t>Работы выполняются Подрядчиком в следующие сроки:</w:t>
      </w:r>
    </w:p>
    <w:p>
      <w:pPr>
        <w:pStyle w:val="ListParagraph"/>
        <w:numPr>
          <w:ilvl w:val="2"/>
          <w:numId w:val="2"/>
        </w:numPr>
        <w:shd w:val="clear" w:color="auto" w:fill="FFFFFF"/>
        <w:tabs>
          <w:tab w:val="clear" w:pos="708"/>
          <w:tab w:val="left" w:pos="1418" w:leader="none"/>
        </w:tabs>
        <w:ind w:firstLine="709" w:left="0"/>
        <w:jc w:val="both"/>
        <w:rPr/>
      </w:pPr>
      <w:r>
        <w:rPr>
          <w:bCs/>
        </w:rPr>
        <w:t xml:space="preserve">начало выполнения Работ: </w:t>
      </w:r>
      <w:r>
        <w:rPr>
          <w:shd w:fill="auto" w:val="clear"/>
        </w:rPr>
        <w:t xml:space="preserve"> с даты, следующей за датой заключения Договора</w:t>
      </w:r>
      <w:r>
        <w:rPr/>
        <w:t>;</w:t>
      </w:r>
    </w:p>
    <w:p>
      <w:pPr>
        <w:pStyle w:val="ListParagraph"/>
        <w:numPr>
          <w:ilvl w:val="2"/>
          <w:numId w:val="2"/>
        </w:numPr>
        <w:tabs>
          <w:tab w:val="clear" w:pos="708"/>
          <w:tab w:val="left" w:pos="1418" w:leader="none"/>
        </w:tabs>
        <w:ind w:firstLine="709" w:left="0"/>
        <w:jc w:val="both"/>
        <w:rPr/>
      </w:pPr>
      <w:r>
        <w:rPr>
          <w:bCs/>
        </w:rPr>
        <w:t xml:space="preserve">окончание выполнения Работ: </w:t>
      </w:r>
      <w:r>
        <w:rPr>
          <w:shd w:fill="auto" w:val="clear"/>
        </w:rPr>
        <w:t>«</w:t>
      </w:r>
      <w:r>
        <w:rPr>
          <w:shd w:fill="auto" w:val="clear"/>
        </w:rPr>
        <w:t>30</w:t>
      </w:r>
      <w:r>
        <w:rPr>
          <w:shd w:fill="auto" w:val="clear"/>
        </w:rPr>
        <w:t xml:space="preserve">» </w:t>
      </w:r>
      <w:r>
        <w:rPr>
          <w:shd w:fill="auto" w:val="clear"/>
        </w:rPr>
        <w:t>апреля</w:t>
      </w:r>
      <w:r>
        <w:rPr>
          <w:shd w:fill="auto" w:val="clear"/>
        </w:rPr>
        <w:t xml:space="preserve"> 202</w:t>
      </w:r>
      <w:r>
        <w:rPr>
          <w:shd w:fill="auto" w:val="clear"/>
        </w:rPr>
        <w:t>7</w:t>
      </w:r>
      <w:r>
        <w:rPr>
          <w:shd w:fill="auto" w:val="clear"/>
        </w:rPr>
        <w:t xml:space="preserve"> г.</w:t>
      </w:r>
    </w:p>
    <w:p>
      <w:pPr>
        <w:pStyle w:val="ListParagraph"/>
        <w:widowControl w:val="false"/>
        <w:numPr>
          <w:ilvl w:val="1"/>
          <w:numId w:val="2"/>
        </w:numPr>
        <w:shd w:val="clear" w:color="auto" w:fill="FFFFFF"/>
        <w:tabs>
          <w:tab w:val="clear" w:pos="708"/>
          <w:tab w:val="left" w:pos="1134" w:leader="none"/>
        </w:tabs>
        <w:ind w:firstLine="709" w:left="0"/>
        <w:jc w:val="both"/>
        <w:rPr/>
      </w:pPr>
      <w:r>
        <w:rPr>
          <w:bCs/>
        </w:rPr>
        <w:t>Выполнение Работ осуществляется в один этап.</w:t>
      </w:r>
    </w:p>
    <w:p>
      <w:pPr>
        <w:pStyle w:val="ListParagraph"/>
        <w:widowControl w:val="false"/>
        <w:shd w:val="clear" w:color="auto" w:fill="FFFFFF"/>
        <w:tabs>
          <w:tab w:val="clear" w:pos="708"/>
          <w:tab w:val="left" w:pos="1134" w:leader="none"/>
        </w:tabs>
        <w:ind w:firstLine="709" w:left="567"/>
        <w:jc w:val="both"/>
        <w:rPr/>
      </w:pPr>
      <w:r>
        <w:rPr/>
      </w:r>
    </w:p>
    <w:p>
      <w:pPr>
        <w:pStyle w:val="ListParagraph"/>
        <w:numPr>
          <w:ilvl w:val="0"/>
          <w:numId w:val="2"/>
        </w:numPr>
        <w:shd w:val="clear" w:color="auto" w:fill="FFFFFF"/>
        <w:tabs>
          <w:tab w:val="clear" w:pos="708"/>
          <w:tab w:val="left" w:pos="284" w:leader="none"/>
        </w:tabs>
        <w:ind w:hanging="0" w:left="0"/>
        <w:jc w:val="center"/>
        <w:rPr>
          <w:b/>
          <w:bCs/>
        </w:rPr>
      </w:pPr>
      <w:r>
        <w:rPr>
          <w:b/>
          <w:bCs/>
        </w:rPr>
        <w:t xml:space="preserve">Права и обязанности Сторон </w:t>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Заказчик обязан</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Сообщить Подрядчику контакты и должность представителей Заказчика уполномоченных на оперативное рассмотрение и решение технических и организационных вопросов, связанных с выполнением Работ. </w:t>
      </w:r>
    </w:p>
    <w:p>
      <w:pPr>
        <w:pStyle w:val="ListParagraph"/>
        <w:numPr>
          <w:ilvl w:val="2"/>
          <w:numId w:val="2"/>
        </w:numPr>
        <w:shd w:val="clear" w:color="auto" w:fill="FFFFFF"/>
        <w:tabs>
          <w:tab w:val="clear" w:pos="708"/>
          <w:tab w:val="left" w:pos="1418" w:leader="none"/>
        </w:tabs>
        <w:ind w:firstLine="709" w:left="0"/>
        <w:jc w:val="both"/>
        <w:rPr>
          <w:bCs/>
        </w:rPr>
      </w:pPr>
      <w:bookmarkStart w:id="2" w:name="_Ref361320734"/>
      <w:bookmarkStart w:id="3" w:name="_Ref361401696"/>
      <w:bookmarkStart w:id="4" w:name="_Ref361396847"/>
      <w:r>
        <w:rPr>
          <w:bCs/>
        </w:rPr>
        <w:t xml:space="preserve">В течение </w:t>
      </w:r>
      <w:r>
        <w:rPr>
          <w:bCs/>
          <w:highlight w:val="lightGray"/>
        </w:rPr>
        <w:t>3 (трех)</w:t>
      </w:r>
      <w:bookmarkEnd w:id="2"/>
      <w:bookmarkEnd w:id="3"/>
      <w:bookmarkEnd w:id="4"/>
      <w:r>
        <w:rPr>
          <w:bCs/>
        </w:rPr>
        <w:t xml:space="preserve"> рабочих дней с даты вступления Договора в силу передать (предоставить) Подрядчику техническую и иную документацию, указанную в Техническом задании (Приложение № 1 к Договору), содержащую исходные данные для выполнения Подрядчиком Работ по Договору, по Акту сдачи-приемки технической и иной документации (Приложение № 3 к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Ознакомить Подрядчика с локальными нормативными актами Заказчика, устанавливающими требования по охране труда, промышленной и пожарной безопасности, правилами пропускного и внутриобъектового режима Заказчика. </w:t>
      </w:r>
    </w:p>
    <w:p>
      <w:pPr>
        <w:pStyle w:val="ListParagraph"/>
        <w:numPr>
          <w:ilvl w:val="2"/>
          <w:numId w:val="2"/>
        </w:numPr>
        <w:shd w:val="clear" w:color="auto" w:fill="FFFFFF"/>
        <w:tabs>
          <w:tab w:val="clear" w:pos="708"/>
          <w:tab w:val="left" w:pos="709" w:leader="none"/>
        </w:tabs>
        <w:ind w:firstLine="709" w:left="0"/>
        <w:jc w:val="both"/>
        <w:rPr>
          <w:bCs/>
        </w:rPr>
      </w:pPr>
      <w:r>
        <w:rPr>
          <w:bCs/>
        </w:rPr>
        <w:t>Принять и оплатить выполненные Подрядчиком Работы на условиях, по цене и в сроки, предусмотренные Договором.</w:t>
      </w:r>
    </w:p>
    <w:p>
      <w:pPr>
        <w:pStyle w:val="ListParagraph"/>
        <w:numPr>
          <w:ilvl w:val="2"/>
          <w:numId w:val="2"/>
        </w:numPr>
        <w:shd w:val="clear" w:color="auto" w:fill="FFFFFF"/>
        <w:tabs>
          <w:tab w:val="clear" w:pos="708"/>
          <w:tab w:val="left" w:pos="709" w:leader="none"/>
        </w:tabs>
        <w:ind w:firstLine="709" w:left="0"/>
        <w:jc w:val="both"/>
        <w:rPr>
          <w:bCs/>
        </w:rPr>
      </w:pPr>
      <w:r>
        <w:rPr>
          <w:bCs/>
        </w:rPr>
        <w:t>В случае необходимости, выдать Подрядчику доверенность на совершение действий, необходимых для выполнения последним своих обязательств по Договору.</w:t>
      </w:r>
    </w:p>
    <w:p>
      <w:pPr>
        <w:pStyle w:val="ListParagraph"/>
        <w:numPr>
          <w:ilvl w:val="2"/>
          <w:numId w:val="2"/>
        </w:numPr>
        <w:shd w:val="clear" w:color="auto" w:fill="FFFFFF"/>
        <w:tabs>
          <w:tab w:val="clear" w:pos="708"/>
          <w:tab w:val="left" w:pos="709" w:leader="none"/>
        </w:tabs>
        <w:ind w:firstLine="709" w:left="0"/>
        <w:jc w:val="both"/>
        <w:rPr>
          <w:bCs/>
        </w:rPr>
      </w:pPr>
      <w:r>
        <w:rPr>
          <w:bCs/>
        </w:rPr>
        <w:t>Выполнять иные обязанности, предусмотренные Договором.</w:t>
      </w:r>
    </w:p>
    <w:p>
      <w:pPr>
        <w:pStyle w:val="Normal"/>
        <w:tabs>
          <w:tab w:val="clear" w:pos="708"/>
          <w:tab w:val="left" w:pos="709" w:leader="none"/>
        </w:tabs>
        <w:spacing w:lineRule="auto" w:line="240"/>
        <w:ind w:firstLine="709"/>
        <w:rPr>
          <w:b/>
          <w:sz w:val="24"/>
          <w:szCs w:val="24"/>
        </w:rPr>
      </w:pPr>
      <w:r>
        <w:rPr>
          <w:b/>
          <w:sz w:val="24"/>
          <w:szCs w:val="24"/>
        </w:rPr>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Заказчик имеет право</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Самостоятельно или с привлечением третьих лиц осуществлять контроль и надзор за ходом и качеством выполняемых Подрядчиком и Субподрядчиками по Договору Работ, соблюдением сроков выполнения, не вмешиваясь при этом в их оперативно-хозяйственную деятельность. Проведение Заказчиком контроля не снимает с Подрядчика ответственности за ненадлежащее выполнение Работ.</w:t>
      </w:r>
    </w:p>
    <w:p>
      <w:pPr>
        <w:pStyle w:val="ListParagraph"/>
        <w:numPr>
          <w:ilvl w:val="2"/>
          <w:numId w:val="2"/>
        </w:numPr>
        <w:shd w:val="clear" w:color="auto" w:fill="FFFFFF"/>
        <w:tabs>
          <w:tab w:val="clear" w:pos="708"/>
          <w:tab w:val="left" w:pos="1418" w:leader="none"/>
        </w:tabs>
        <w:ind w:firstLine="709" w:left="0"/>
        <w:jc w:val="both"/>
        <w:rPr>
          <w:bCs/>
        </w:rPr>
      </w:pPr>
      <w:bookmarkStart w:id="5" w:name="_Ref361334652"/>
      <w:r>
        <w:rPr>
          <w:bCs/>
        </w:rPr>
        <w:t>Приостанавливать осуществление любых платежей (независимо от наличия оснований и наступления сроков таких платежей) и производство Работ по Договору путем направления Подрядчику соответствующего письменного требования с указанием причин приостановления при обнаружении отступлений от условий Договора, в том числе нарушений сроков и / или качества выполнения Работ, требований Технического задания (Приложение № 1 к Договору), Применимого права, до устранения таких нарушений или их последствий, устанавливать сроки устранения таких нарушений. При этом Заказчик не будет считаться просрочившим и / или нарушившим свои обязательства по Договору. Приостановка Работ по причинам, указанным в настоящем пункте, не является основанием для продления сроков выполнения Подрядчиком Работ, установленных Договором. В случае, когда в результате такой приостановки становится очевидной невозможность завершения Работ в срок, установленный Договором, Заказчик вправе отказаться от его исполнения и потребовать возмещения причиненных убытков.</w:t>
      </w:r>
      <w:bookmarkEnd w:id="5"/>
      <w:r>
        <w:rPr>
          <w:bCs/>
        </w:rPr>
        <w:t xml:space="preserve"> </w:t>
      </w:r>
    </w:p>
    <w:p>
      <w:pPr>
        <w:pStyle w:val="ListParagraph"/>
        <w:numPr>
          <w:ilvl w:val="2"/>
          <w:numId w:val="2"/>
        </w:numPr>
        <w:shd w:val="clear" w:color="auto" w:fill="FFFFFF"/>
        <w:tabs>
          <w:tab w:val="clear" w:pos="708"/>
          <w:tab w:val="left" w:pos="1418" w:leader="none"/>
        </w:tabs>
        <w:ind w:firstLine="709" w:left="0"/>
        <w:jc w:val="both"/>
        <w:rPr>
          <w:bCs/>
        </w:rPr>
      </w:pPr>
      <w:bookmarkStart w:id="6" w:name="_Ref361334468"/>
      <w:bookmarkEnd w:id="6"/>
      <w:r>
        <w:rPr>
          <w:bCs/>
        </w:rPr>
        <w:t>Изымать пропуска и не допускать на территорию Заказчика работников Подрядчика и / или привлеченных им Субподрядчиков при выявлении нарушений такими работниками пропускного и внутриобъектового режима, требований охраны труда, пожарной и промышленной безопасности, природоохранного законодательства, на период до принятия совместного решения Сторон о возобновлении допуска.</w:t>
      </w:r>
    </w:p>
    <w:p>
      <w:pPr>
        <w:pStyle w:val="ListParagraph"/>
        <w:numPr>
          <w:ilvl w:val="2"/>
          <w:numId w:val="2"/>
        </w:numPr>
        <w:shd w:val="clear" w:color="auto" w:fill="FFFFFF"/>
        <w:tabs>
          <w:tab w:val="clear" w:pos="708"/>
          <w:tab w:val="left" w:pos="1418" w:leader="none"/>
        </w:tabs>
        <w:ind w:firstLine="709" w:left="0"/>
        <w:jc w:val="both"/>
        <w:rPr>
          <w:bCs/>
        </w:rPr>
      </w:pPr>
      <w:bookmarkStart w:id="7" w:name="_Ref361319348"/>
      <w:r>
        <w:rPr>
          <w:bCs/>
        </w:rPr>
        <w:t>Вносить изменения в Техническое задание (Приложение № 1 к Договору) при условии, если вызываемые этим дополнительные работы не меняют характера предусмотренных в Договоре Работ таким образом, что выполнение указаний Заказчика потребовало бы от Подрядчика получения отсутствующих у него допусков, разрешений и / или лицензий. В целях внесения соответствующих изменений Заказчик обязан направить Подрядчику письменное распоряжение, обязательное к выполнению Подрядчиком.</w:t>
      </w:r>
      <w:bookmarkEnd w:id="7"/>
      <w:r>
        <w:rPr>
          <w:bCs/>
        </w:rPr>
        <w:t xml:space="preserve"> </w:t>
      </w:r>
    </w:p>
    <w:p>
      <w:pPr>
        <w:pStyle w:val="ListParagraph"/>
        <w:numPr>
          <w:ilvl w:val="2"/>
          <w:numId w:val="2"/>
        </w:numPr>
        <w:shd w:val="clear" w:color="auto" w:fill="FFFFFF"/>
        <w:tabs>
          <w:tab w:val="clear" w:pos="708"/>
          <w:tab w:val="left" w:pos="1418" w:leader="none"/>
        </w:tabs>
        <w:ind w:firstLine="709" w:left="0"/>
        <w:jc w:val="both"/>
        <w:rPr>
          <w:bCs/>
        </w:rPr>
      </w:pPr>
      <w:r>
        <w:rPr>
          <w:bCs/>
        </w:rPr>
        <w:t>Давать Подрядчику указания о способе выполнения Работ, если такие указания не противоречат условиям Договора и не являются вмешательством в деятельность Подрядчика.</w:t>
      </w:r>
    </w:p>
    <w:p>
      <w:pPr>
        <w:pStyle w:val="ListParagraph"/>
        <w:numPr>
          <w:ilvl w:val="2"/>
          <w:numId w:val="2"/>
        </w:numPr>
        <w:shd w:val="clear" w:color="auto" w:fill="FFFFFF"/>
        <w:tabs>
          <w:tab w:val="clear" w:pos="708"/>
          <w:tab w:val="left" w:pos="1418" w:leader="none"/>
        </w:tabs>
        <w:ind w:firstLine="709" w:left="0"/>
        <w:jc w:val="both"/>
        <w:rPr>
          <w:bCs/>
        </w:rPr>
      </w:pPr>
      <w:r>
        <w:rPr>
          <w:bCs/>
        </w:rPr>
        <w:t>В течение действия Договора обращаться к Подрядчику с устными и письменными запросами с целью разъяснения (уточнения, конкретизации) расчетов, заключений, выводов, содержащихся в Результате работ.</w:t>
      </w:r>
    </w:p>
    <w:p>
      <w:pPr>
        <w:pStyle w:val="ListParagraph"/>
        <w:numPr>
          <w:ilvl w:val="2"/>
          <w:numId w:val="2"/>
        </w:numPr>
        <w:shd w:val="clear" w:color="auto" w:fill="FFFFFF"/>
        <w:tabs>
          <w:tab w:val="clear" w:pos="708"/>
          <w:tab w:val="left" w:pos="709" w:leader="none"/>
        </w:tabs>
        <w:ind w:firstLine="709" w:left="0"/>
        <w:jc w:val="both"/>
        <w:rPr>
          <w:bCs/>
        </w:rPr>
      </w:pPr>
      <w:r>
        <w:rPr>
          <w:bCs/>
        </w:rPr>
        <w:t>Требовать от Подрядчика представления информации и пояснений о ходе выполнения Работ, требовать представления Заказчику документов, полученных Подрядчиком в ходе выполнения своих обязательств по Договору, в том числе копий предписаний контролирующих и надзорных органов, выданных Подрядчику и/или привлеченным им Субподрядчикам.</w:t>
      </w:r>
    </w:p>
    <w:p>
      <w:pPr>
        <w:pStyle w:val="ListParagraph"/>
        <w:numPr>
          <w:ilvl w:val="2"/>
          <w:numId w:val="2"/>
        </w:numPr>
        <w:shd w:val="clear" w:color="auto" w:fill="FFFFFF"/>
        <w:tabs>
          <w:tab w:val="clear" w:pos="708"/>
          <w:tab w:val="left" w:pos="709" w:leader="none"/>
        </w:tabs>
        <w:ind w:firstLine="709" w:left="0"/>
        <w:jc w:val="both"/>
        <w:rPr>
          <w:bCs/>
        </w:rPr>
      </w:pPr>
      <w:r>
        <w:rPr>
          <w:bCs/>
        </w:rPr>
        <w:t>Использовать Результат работ по своему усмотрению, в том числе передавать Результат работ третьим лицам без письменного согласия Подрядчика.</w:t>
      </w:r>
    </w:p>
    <w:p>
      <w:pPr>
        <w:pStyle w:val="ListParagraph"/>
        <w:numPr>
          <w:ilvl w:val="2"/>
          <w:numId w:val="2"/>
        </w:numPr>
        <w:shd w:val="clear" w:color="auto" w:fill="FFFFFF"/>
        <w:tabs>
          <w:tab w:val="clear" w:pos="708"/>
          <w:tab w:val="left" w:pos="567" w:leader="none"/>
        </w:tabs>
        <w:ind w:firstLine="709" w:left="0"/>
        <w:jc w:val="both"/>
        <w:rPr/>
      </w:pPr>
      <w:r>
        <w:rPr>
          <w:bCs/>
        </w:rPr>
        <w:t>В случае нарушения Подрядчиком п.2.4.2 настоящего договора Заказчик имеет право</w:t>
      </w:r>
      <w:r>
        <w:rPr/>
        <w:t xml:space="preserve"> предъявить Подрядчику требование об уплате штрафа в размере 20% от стоимости работ, фактически принятых Заказчиком. Удержание штрафа, подлежащего уплате Подряд</w:t>
      </w:r>
      <w:r>
        <w:rPr>
          <w:shd w:fill="auto" w:val="clear"/>
        </w:rPr>
        <w:t>чиком, может быть произведено, по усмотрению Заказчика, путем вычета суммы штрафа из  стоимости фактически выполненных Подрядчиком и принятых Заказчиком работ.</w:t>
      </w:r>
    </w:p>
    <w:p>
      <w:pPr>
        <w:pStyle w:val="ListParagraph"/>
        <w:numPr>
          <w:ilvl w:val="2"/>
          <w:numId w:val="2"/>
        </w:numPr>
        <w:shd w:val="clear" w:color="auto" w:fill="FFFFFF"/>
        <w:tabs>
          <w:tab w:val="clear" w:pos="708"/>
          <w:tab w:val="left" w:pos="567" w:leader="none"/>
        </w:tabs>
        <w:ind w:firstLine="709" w:left="0"/>
        <w:jc w:val="both"/>
        <w:rPr>
          <w:highlight w:val="none"/>
          <w:shd w:fill="auto" w:val="clear"/>
        </w:rPr>
      </w:pPr>
      <w:r>
        <w:rPr>
          <w:b w:val="false"/>
          <w:bCs w:val="false"/>
          <w:i w:val="false"/>
          <w:iCs w:val="false"/>
          <w:sz w:val="24"/>
          <w:szCs w:val="24"/>
          <w:shd w:fill="auto" w:val="clear"/>
        </w:rPr>
        <w:t>В любое время т</w:t>
      </w:r>
      <w:r>
        <w:rPr>
          <w:b w:val="false"/>
          <w:bCs/>
          <w:i w:val="false"/>
          <w:iCs w:val="false"/>
          <w:sz w:val="24"/>
          <w:szCs w:val="24"/>
          <w:shd w:fill="auto" w:val="clear"/>
        </w:rPr>
        <w:t xml:space="preserve">ребовать от Подрядчика представления информации о 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w:t>
      </w:r>
      <w:r>
        <w:rPr>
          <w:b w:val="false"/>
          <w:bCs/>
          <w:i w:val="false"/>
          <w:iCs w:val="false"/>
          <w:sz w:val="24"/>
          <w:szCs w:val="24"/>
          <w:shd w:fill="auto" w:val="clear"/>
        </w:rPr>
        <w:t>.</w:t>
      </w:r>
    </w:p>
    <w:p>
      <w:pPr>
        <w:pStyle w:val="ListParagraph"/>
        <w:shd w:val="clear" w:color="auto" w:fill="FFFFFF"/>
        <w:tabs>
          <w:tab w:val="clear" w:pos="708"/>
          <w:tab w:val="left" w:pos="567" w:leader="none"/>
        </w:tabs>
        <w:ind w:firstLine="709" w:left="0"/>
        <w:jc w:val="both"/>
        <w:rPr>
          <w:bCs/>
          <w:color w:val="FF0000"/>
          <w:highlight w:val="none"/>
          <w:shd w:fill="auto" w:val="clear"/>
        </w:rPr>
      </w:pPr>
      <w:r>
        <w:rPr>
          <w:bCs/>
          <w:color w:val="FF0000"/>
          <w:shd w:fill="auto" w:val="clear"/>
        </w:rPr>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bCs/>
          <w:u w:val="single"/>
          <w:shd w:fill="auto" w:val="clear"/>
        </w:rPr>
        <w:t>Подрядчик обязан</w:t>
      </w:r>
      <w:r>
        <w:rPr>
          <w:bCs/>
          <w:shd w:fill="auto" w:val="clear"/>
        </w:rPr>
        <w:t>:</w:t>
      </w:r>
    </w:p>
    <w:p>
      <w:pPr>
        <w:pStyle w:val="ListParagraph"/>
        <w:numPr>
          <w:ilvl w:val="2"/>
          <w:numId w:val="2"/>
        </w:numPr>
        <w:shd w:val="clear" w:color="auto" w:fill="FFFFFF"/>
        <w:tabs>
          <w:tab w:val="clear" w:pos="708"/>
          <w:tab w:val="left" w:pos="1418" w:leader="none"/>
        </w:tabs>
        <w:ind w:firstLine="709" w:left="0"/>
        <w:jc w:val="both"/>
        <w:rPr>
          <w:bCs/>
        </w:rPr>
      </w:pPr>
      <w:r>
        <w:rPr>
          <w:bCs/>
        </w:rPr>
        <w:t>Выполнить Работы в объеме, сроки и с качеством, соответствующим требованиям Договора и Применимого права</w:t>
      </w:r>
      <w:r>
        <w:rPr/>
        <w:t xml:space="preserve"> </w:t>
      </w:r>
      <w:r>
        <w:rPr>
          <w:bCs/>
        </w:rPr>
        <w:t>и сдать их результат Заказчику.</w:t>
      </w:r>
    </w:p>
    <w:p>
      <w:pPr>
        <w:pStyle w:val="ListParagraph"/>
        <w:numPr>
          <w:ilvl w:val="2"/>
          <w:numId w:val="2"/>
        </w:numPr>
        <w:shd w:val="clear" w:color="auto" w:fill="FFFFFF"/>
        <w:tabs>
          <w:tab w:val="clear" w:pos="708"/>
          <w:tab w:val="left" w:pos="1418" w:leader="none"/>
        </w:tabs>
        <w:ind w:firstLine="709" w:left="0"/>
        <w:jc w:val="both"/>
        <w:rPr>
          <w:bCs/>
        </w:rPr>
      </w:pPr>
      <w:r>
        <w:rPr>
          <w:bCs/>
        </w:rPr>
        <w:t>Принять от Заказчика на время выполнения Работ по Договору техническую и иную документацию, указанную в Техническом задании (Приложение № 1 к Договору) по Акту сдачи-приемки технической и иной документации (Приложение № 3 к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Выдать замечания в отношении технической и иной документации, предоставленной Заказчиком, в течение </w:t>
      </w:r>
      <w:r>
        <w:rPr>
          <w:bCs/>
          <w:highlight w:val="lightGray"/>
        </w:rPr>
        <w:t>10 (десяти)</w:t>
      </w:r>
      <w:r>
        <w:rPr>
          <w:bCs/>
        </w:rPr>
        <w:t xml:space="preserve"> рабочих дней с даты принятия её по Акту сдачи-приемки технической и иной документации (Приложение № 3 к Договору). Отсутствие таких замечаний в указанный срок свидетельствует о проверке Подрядчиком технической и иной документации и лишает Подрядчика права ссылаться на недостатки данной документации в дальнейшем.</w:t>
      </w:r>
    </w:p>
    <w:p>
      <w:pPr>
        <w:pStyle w:val="Normal"/>
        <w:widowControl w:val="false"/>
        <w:numPr>
          <w:ilvl w:val="2"/>
          <w:numId w:val="2"/>
        </w:numPr>
        <w:tabs>
          <w:tab w:val="clear" w:pos="708"/>
          <w:tab w:val="left" w:pos="709" w:leader="none"/>
          <w:tab w:val="left" w:pos="1430" w:leader="none"/>
        </w:tabs>
        <w:spacing w:lineRule="auto" w:line="240"/>
        <w:ind w:firstLine="709" w:left="0"/>
        <w:rPr>
          <w:sz w:val="24"/>
          <w:szCs w:val="24"/>
        </w:rPr>
      </w:pPr>
      <w:r>
        <w:rPr>
          <w:sz w:val="24"/>
          <w:szCs w:val="24"/>
        </w:rPr>
        <w:t>Запрашивать и получать все исходные данные, необходимые для выполнения Работ по Договору, за исключением исходных данных, содержащихся в технической и иной документации, которую в соответствии с Техническим заданием (Приложение № 1 к Договору) должен предоставить Заказчик.</w:t>
      </w:r>
    </w:p>
    <w:p>
      <w:pPr>
        <w:pStyle w:val="Normal"/>
        <w:widowControl w:val="false"/>
        <w:numPr>
          <w:ilvl w:val="2"/>
          <w:numId w:val="2"/>
        </w:numPr>
        <w:tabs>
          <w:tab w:val="clear" w:pos="708"/>
          <w:tab w:val="left" w:pos="709" w:leader="none"/>
          <w:tab w:val="left" w:pos="1430" w:leader="none"/>
        </w:tabs>
        <w:spacing w:lineRule="auto" w:line="240"/>
        <w:ind w:firstLine="709" w:left="0"/>
        <w:rPr>
          <w:bCs/>
          <w:sz w:val="24"/>
          <w:szCs w:val="24"/>
        </w:rPr>
      </w:pPr>
      <w:r>
        <w:rPr>
          <w:bCs/>
          <w:sz w:val="24"/>
          <w:szCs w:val="24"/>
        </w:rPr>
        <w:t>До фактического начала выполнения Работ предоставить Заказчику контакты и должность представителей Подрядчика, уполномоченных на оперативное рассмотрение и решение технических и организационных вопросов, связанных с выполнением Работ.</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Обеспечить сохранность переданной Заказчиком по Актам сдачи-приемки технической и иной документации, а также возврат ее Заказчику не позднее даты окончания выполнения Работ, указанной в пункте 1.5.2 Договора, либо в случаях прекращения (расторжения) Договора, указанных в пункте 2.2.2 и разделе 13 Договора, – не позднее 3 (трех) рабочих дней с даты получения соответствующего требования Заказчика. </w:t>
      </w:r>
    </w:p>
    <w:p>
      <w:pPr>
        <w:pStyle w:val="ListParagraph"/>
        <w:numPr>
          <w:ilvl w:val="2"/>
          <w:numId w:val="2"/>
        </w:numPr>
        <w:shd w:val="clear" w:color="auto" w:fill="FFFFFF"/>
        <w:tabs>
          <w:tab w:val="clear" w:pos="708"/>
          <w:tab w:val="left" w:pos="1418" w:leader="none"/>
        </w:tabs>
        <w:ind w:firstLine="709" w:left="0"/>
        <w:jc w:val="both"/>
        <w:rPr/>
      </w:pPr>
      <w:r>
        <w:rPr/>
        <w:t>Обеспечить наличие допусков, разрешений и лицензий, необходимых для производства Работ.</w:t>
      </w:r>
    </w:p>
    <w:p>
      <w:pPr>
        <w:pStyle w:val="ListParagraph"/>
        <w:shd w:val="clear" w:color="auto" w:fill="FFFFFF"/>
        <w:tabs>
          <w:tab w:val="clear" w:pos="708"/>
          <w:tab w:val="left" w:pos="1418" w:leader="none"/>
        </w:tabs>
        <w:ind w:firstLine="709" w:left="0"/>
        <w:jc w:val="both"/>
        <w:rPr/>
      </w:pPr>
      <w:r>
        <w:rPr/>
        <w:t>Подрядчик обязан незамедлительно, но в любом случае не позднее рабочего дня, следующего за днем наступлением соответствующего обстоятельства, сообщать Заказчику об отзыве, прекращении, приостановлении действия, признании недействительными или утрате по другим основаниям допусков, разрешений и лицензий, необходимых для надлежащего исполнения Подрядчиком своих обязательств по Договору</w:t>
      </w:r>
      <w:r>
        <w:rPr>
          <w:bCs/>
        </w:rPr>
        <w:t>, в том числе указанных в Приложении № 4 к Договору</w:t>
      </w:r>
      <w:r>
        <w:rPr/>
        <w:t xml:space="preserve">, а также в разумный срок обеспечить получение соответствующих допусков, разрешений и лицензий в срок, обеспечивающих надлежащее исполнение Подрядчиком обязательств по Договору. </w:t>
      </w:r>
    </w:p>
    <w:p>
      <w:pPr>
        <w:pStyle w:val="ListParagraph"/>
        <w:shd w:val="clear" w:color="auto" w:fill="FFFFFF"/>
        <w:tabs>
          <w:tab w:val="clear" w:pos="708"/>
          <w:tab w:val="left" w:pos="1418" w:leader="none"/>
        </w:tabs>
        <w:ind w:firstLine="709" w:left="0"/>
        <w:jc w:val="both"/>
        <w:rPr/>
      </w:pPr>
      <w:r>
        <w:rPr/>
        <w:t>Если в процессе выполнения Работ по Договору законом или иным нормативным правовым актом будет установлена обязанность Подрядчика получить дополнительные допуски, разрешения и / или лицензии, Подрядчик обязан направить Заказчику соответствующее письменное уведомление, а также в разумный срок получить необходимые допуски, разрешения и / или лицензии и направить их копии Заказчику.</w:t>
      </w:r>
    </w:p>
    <w:p>
      <w:pPr>
        <w:pStyle w:val="ListParagraph"/>
        <w:shd w:val="clear" w:color="auto" w:fill="FFFFFF"/>
        <w:tabs>
          <w:tab w:val="clear" w:pos="708"/>
          <w:tab w:val="left" w:pos="1418" w:leader="none"/>
        </w:tabs>
        <w:ind w:firstLine="709" w:left="0"/>
        <w:jc w:val="both"/>
        <w:rPr/>
      </w:pPr>
      <w:r>
        <w:rPr/>
        <w:t>Во избежание сомнений, принятие соответствующего закона или иного нормативного правового акта не будет рассматриваться для целей Договора как обстоятельство непреодолимой силы (форс-мажор), указанное в пункте 10.1 Договора, и Подрядчик не будет иметь права на продление сроков выполнения Работ или увеличение стоимости Работ, если Сторонами письменно не согласовано иное.</w:t>
      </w:r>
    </w:p>
    <w:p>
      <w:pPr>
        <w:pStyle w:val="ListParagraph"/>
        <w:numPr>
          <w:ilvl w:val="2"/>
          <w:numId w:val="2"/>
        </w:numPr>
        <w:shd w:val="clear" w:color="auto" w:fill="FFFFFF"/>
        <w:tabs>
          <w:tab w:val="clear" w:pos="708"/>
          <w:tab w:val="left" w:pos="1418" w:leader="none"/>
        </w:tabs>
        <w:ind w:firstLine="709" w:left="0"/>
        <w:jc w:val="both"/>
        <w:rPr>
          <w:highlight w:val="lightGray"/>
        </w:rPr>
      </w:pPr>
      <w:r>
        <w:rPr>
          <w:highlight w:val="lightGray"/>
        </w:rPr>
        <w:t>Обеспечить:</w:t>
      </w:r>
    </w:p>
    <w:p>
      <w:pPr>
        <w:pStyle w:val="ListParagraph"/>
        <w:numPr>
          <w:ilvl w:val="0"/>
          <w:numId w:val="10"/>
        </w:numPr>
        <w:shd w:val="clear" w:color="auto" w:fill="FFFFFF"/>
        <w:tabs>
          <w:tab w:val="clear" w:pos="708"/>
          <w:tab w:val="left" w:pos="567" w:leader="none"/>
          <w:tab w:val="left" w:pos="1418" w:leader="none"/>
        </w:tabs>
        <w:ind w:firstLine="709" w:left="0"/>
        <w:jc w:val="both"/>
        <w:rPr>
          <w:bCs/>
          <w:highlight w:val="lightGray"/>
        </w:rPr>
      </w:pPr>
      <w:r>
        <w:rPr>
          <w:bCs/>
          <w:highlight w:val="lightGray"/>
        </w:rPr>
        <w:t xml:space="preserve">участие в саморегулируемой организации, основанной на членстве лиц, </w:t>
      </w:r>
      <w:r>
        <w:rPr>
          <w:highlight w:val="lightGray"/>
        </w:rPr>
        <w:t>выполняющих подготовку проектной документации</w:t>
      </w:r>
      <w:r>
        <w:rPr>
          <w:bCs/>
          <w:highlight w:val="lightGray"/>
        </w:rPr>
        <w:t xml:space="preserve"> (с учетом исключений, предусмотренных законодательством Российской Федерации);</w:t>
      </w:r>
    </w:p>
    <w:p>
      <w:pPr>
        <w:pStyle w:val="ListParagraph"/>
        <w:numPr>
          <w:ilvl w:val="0"/>
          <w:numId w:val="10"/>
        </w:numPr>
        <w:shd w:val="clear" w:color="auto" w:fill="FFFFFF"/>
        <w:tabs>
          <w:tab w:val="clear" w:pos="708"/>
          <w:tab w:val="left" w:pos="567" w:leader="none"/>
          <w:tab w:val="left" w:pos="1418" w:leader="none"/>
        </w:tabs>
        <w:ind w:firstLine="709" w:left="0"/>
        <w:jc w:val="both"/>
        <w:rPr>
          <w:bCs/>
          <w:highlight w:val="lightGray"/>
        </w:rPr>
      </w:pPr>
      <w:r>
        <w:rPr>
          <w:bCs/>
          <w:highlight w:val="lightGray"/>
        </w:rPr>
        <w:t>соответствие уровня имущественной ответственности Подрядчика по компенсационному фонду возмещения вреда и компенсационному фонду обеспечения договорных обязательств</w:t>
      </w:r>
      <w:r>
        <w:rPr>
          <w:highlight w:val="lightGray"/>
        </w:rPr>
        <w:t xml:space="preserve"> </w:t>
      </w:r>
      <w:r>
        <w:rPr>
          <w:bCs/>
          <w:highlight w:val="lightGray"/>
        </w:rPr>
        <w:t>стоимости выполнения Работ по Договору;</w:t>
      </w:r>
    </w:p>
    <w:p>
      <w:pPr>
        <w:pStyle w:val="ListParagraph"/>
        <w:numPr>
          <w:ilvl w:val="0"/>
          <w:numId w:val="10"/>
        </w:numPr>
        <w:tabs>
          <w:tab w:val="clear" w:pos="708"/>
          <w:tab w:val="left" w:pos="567" w:leader="none"/>
        </w:tabs>
        <w:ind w:firstLine="709" w:left="0"/>
        <w:jc w:val="both"/>
        <w:rPr>
          <w:bCs/>
          <w:highlight w:val="lightGray"/>
        </w:rPr>
      </w:pPr>
      <w:r>
        <w:rPr>
          <w:bCs/>
          <w:highlight w:val="lightGray"/>
        </w:rPr>
        <w:t>организацию выполнения Работ по Договору лицом (лицами),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2"/>
          <w:numId w:val="2"/>
        </w:numPr>
        <w:shd w:val="clear" w:color="auto" w:fill="FFFFFF"/>
        <w:tabs>
          <w:tab w:val="clear" w:pos="708"/>
          <w:tab w:val="left" w:pos="1418" w:leader="none"/>
        </w:tabs>
        <w:ind w:firstLine="709" w:left="0"/>
        <w:jc w:val="both"/>
        <w:rPr>
          <w:bCs/>
        </w:rPr>
      </w:pPr>
      <w:r>
        <w:rPr/>
        <w:t>Выполнять</w:t>
      </w:r>
      <w:r>
        <w:rPr>
          <w:bCs/>
        </w:rPr>
        <w:t xml:space="preserve"> Работы силами квалифицированных специалистов (в том числе, с учетом требований пункта 2.3.7 Договора), прошедших соответствующую подготовку, квалификация, опыт и компетенция которых позволяет обеспечить надлежащее и качественное выполнение Работ. </w:t>
      </w:r>
    </w:p>
    <w:p>
      <w:pPr>
        <w:pStyle w:val="ListParagraph"/>
        <w:numPr>
          <w:ilvl w:val="2"/>
          <w:numId w:val="2"/>
        </w:numPr>
        <w:shd w:val="clear" w:color="auto" w:fill="FFFFFF"/>
        <w:tabs>
          <w:tab w:val="clear" w:pos="708"/>
          <w:tab w:val="left" w:pos="1418" w:leader="none"/>
        </w:tabs>
        <w:ind w:firstLine="709" w:left="0"/>
        <w:jc w:val="both"/>
        <w:rPr>
          <w:bCs/>
        </w:rPr>
      </w:pPr>
      <w:r>
        <w:rPr>
          <w:bCs/>
        </w:rPr>
        <w:t>В случаях, установленных правилами пропускного и внутриобъектового режима Заказчика, предварительно согласовать с Заказчиком пофамильные списки персонала, задействованного при производстве Работ.</w:t>
      </w:r>
    </w:p>
    <w:p>
      <w:pPr>
        <w:pStyle w:val="ListParagraph"/>
        <w:numPr>
          <w:ilvl w:val="2"/>
          <w:numId w:val="2"/>
        </w:numPr>
        <w:shd w:val="clear" w:color="auto" w:fill="FFFFFF"/>
        <w:tabs>
          <w:tab w:val="clear" w:pos="708"/>
          <w:tab w:val="left" w:pos="1418" w:leader="none"/>
        </w:tabs>
        <w:ind w:firstLine="709" w:left="0"/>
        <w:jc w:val="both"/>
        <w:rPr>
          <w:bCs/>
        </w:rPr>
      </w:pPr>
      <w:r>
        <w:rPr>
          <w:bCs/>
        </w:rPr>
        <w:t>Провести инструктаж персонала, задействованного при выполнении Работ на территории Заказчика, обеспечить соблюдение (в том числе указанным персоналом) правил эксплуатации электроустановок, требований охраны труда, пожарной и промышленной безопасности, экологических, санитарных требований и правил, а также иных нормативных правовых актов и требований локальных нормативных актов Заказчика.</w:t>
      </w:r>
    </w:p>
    <w:p>
      <w:pPr>
        <w:pStyle w:val="ListParagraph"/>
        <w:numPr>
          <w:ilvl w:val="2"/>
          <w:numId w:val="2"/>
        </w:numPr>
        <w:shd w:val="clear" w:color="auto" w:fill="FFFFFF"/>
        <w:tabs>
          <w:tab w:val="clear" w:pos="708"/>
          <w:tab w:val="left" w:pos="1418" w:leader="none"/>
        </w:tabs>
        <w:ind w:firstLine="709" w:left="0"/>
        <w:jc w:val="both"/>
        <w:rPr>
          <w:bCs/>
        </w:rPr>
      </w:pPr>
      <w:r>
        <w:rPr>
          <w:bCs/>
        </w:rPr>
        <w:t>Обеспечить в соответствии с законодательством Российской Федерации согласие физических лиц, персональные данные которых должны быть переданы Заказчику по условиям Договора, на такую передачу, а также осуществление Заказчиком обработки, включая сбор, накопление, хранение, уточнение (обновление, изменение), использование, передачу (распространение, предоставление, доступ) и уничтожение таких персональных данных, и по письменному требованию Заказчика предоставить документы, подтверждающие получение такого согласия.</w:t>
      </w:r>
    </w:p>
    <w:p>
      <w:pPr>
        <w:pStyle w:val="ListParagraph"/>
        <w:numPr>
          <w:ilvl w:val="2"/>
          <w:numId w:val="2"/>
        </w:numPr>
        <w:shd w:val="clear" w:color="auto" w:fill="FFFFFF"/>
        <w:tabs>
          <w:tab w:val="clear" w:pos="708"/>
          <w:tab w:val="left" w:pos="1418" w:leader="none"/>
        </w:tabs>
        <w:ind w:firstLine="709" w:left="0"/>
        <w:jc w:val="both"/>
        <w:rPr>
          <w:bCs/>
        </w:rPr>
      </w:pPr>
      <w:r>
        <w:rPr>
          <w:bCs/>
        </w:rPr>
        <w:t>В случае применения контролирующими органами штрафных санкций к Заказчику по фактам нарушения Подрядчиком требований охраны труда, электробезопасности, пожарной и промышленной безопасности, природоохранного законодательства или иных нормативных правовых актов, возмещать Заказчику расходы по уплате таких штрафов в течение 10 (десяти) рабочих дней с даты получения соответствующего письменного требования.</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Передать Заказчику Результат работ, соответствующий требованиям Договора. </w:t>
      </w:r>
    </w:p>
    <w:p>
      <w:pPr>
        <w:pStyle w:val="ListParagraph"/>
        <w:numPr>
          <w:ilvl w:val="2"/>
          <w:numId w:val="2"/>
        </w:numPr>
        <w:shd w:val="clear" w:color="auto" w:fill="FFFFFF"/>
        <w:tabs>
          <w:tab w:val="clear" w:pos="708"/>
          <w:tab w:val="left" w:pos="1418" w:leader="none"/>
        </w:tabs>
        <w:ind w:firstLine="709" w:left="0"/>
        <w:jc w:val="both"/>
        <w:rPr>
          <w:bCs/>
        </w:rPr>
      </w:pPr>
      <w:r>
        <w:rPr>
          <w:bCs/>
        </w:rPr>
        <w:t>Выполнять полученные в ходе исполнения Договора указания Заказчика,</w:t>
      </w:r>
      <w:r>
        <w:rPr/>
        <w:t xml:space="preserve"> </w:t>
      </w:r>
      <w:r>
        <w:rPr>
          <w:bCs/>
        </w:rPr>
        <w:t xml:space="preserve">если такие указания не противоречат условиям Договора и не представляют собой вмешательства в деятельность Подрядчика. </w:t>
      </w:r>
    </w:p>
    <w:p>
      <w:pPr>
        <w:pStyle w:val="Normal"/>
        <w:shd w:val="clear" w:color="auto" w:fill="FFFFFF"/>
        <w:tabs>
          <w:tab w:val="clear" w:pos="708"/>
          <w:tab w:val="left" w:pos="1418" w:leader="none"/>
        </w:tabs>
        <w:spacing w:lineRule="auto" w:line="240"/>
        <w:ind w:firstLine="709"/>
        <w:rPr>
          <w:bCs/>
        </w:rPr>
      </w:pPr>
      <w:r>
        <w:rPr>
          <w:bCs/>
          <w:sz w:val="24"/>
          <w:szCs w:val="24"/>
        </w:rPr>
        <w:t xml:space="preserve">В случае, если такие указания могут привести к увеличению Цены Договора и сроков выполнения Работ, Подрядчик обязан письменно сообщить об этом Заказчику не позднее 5 (пяти) календарных дней с даты получения соответствующего указания Заказчика, и Стороны при неизбежности наступления указанных обстоятельств, обязаны подписать дополнительное соглашение к Договору. </w:t>
      </w:r>
    </w:p>
    <w:p>
      <w:pPr>
        <w:pStyle w:val="Normal"/>
        <w:shd w:val="clear" w:color="auto" w:fill="FFFFFF"/>
        <w:tabs>
          <w:tab w:val="clear" w:pos="708"/>
          <w:tab w:val="left" w:pos="1418" w:leader="none"/>
        </w:tabs>
        <w:spacing w:lineRule="auto" w:line="240"/>
        <w:ind w:firstLine="709"/>
        <w:rPr>
          <w:bCs/>
          <w:sz w:val="24"/>
          <w:szCs w:val="24"/>
        </w:rPr>
      </w:pPr>
      <w:r>
        <w:rPr>
          <w:bCs/>
          <w:sz w:val="24"/>
          <w:szCs w:val="24"/>
        </w:rPr>
        <w:t xml:space="preserve">Подрядчик не несет ответственности за возможные убытки, возникшие в результате исполнения указаний Заказчика, только если Подрядчик письменно известил Заказчика о возможных негативных последствиях исполнения таких указаний в соответствии с пунктом 2.3.16.1 Договора. </w:t>
      </w:r>
    </w:p>
    <w:p>
      <w:pPr>
        <w:pStyle w:val="ListParagraph"/>
        <w:shd w:val="clear" w:color="auto" w:fill="FFFFFF"/>
        <w:tabs>
          <w:tab w:val="clear" w:pos="708"/>
          <w:tab w:val="left" w:pos="1418" w:leader="none"/>
        </w:tabs>
        <w:ind w:firstLine="709" w:left="0"/>
        <w:jc w:val="both"/>
        <w:rPr>
          <w:bCs/>
        </w:rPr>
      </w:pPr>
      <w:r>
        <w:rPr>
          <w:bCs/>
        </w:rPr>
        <w:t xml:space="preserve">Подрядчик не вправе отказаться от выполнения или задержать выполнение указаний Заказчика в части сокращения объемов Работ, прекращения и / или исключения отдельных видов Работ, кроме случая, указанного в пункте 2.3.16.1 Договора. </w:t>
      </w:r>
    </w:p>
    <w:p>
      <w:pPr>
        <w:pStyle w:val="ListParagraph"/>
        <w:numPr>
          <w:ilvl w:val="2"/>
          <w:numId w:val="2"/>
        </w:numPr>
        <w:shd w:val="clear" w:color="auto" w:fill="FFFFFF"/>
        <w:tabs>
          <w:tab w:val="clear" w:pos="708"/>
          <w:tab w:val="left" w:pos="1418" w:leader="none"/>
        </w:tabs>
        <w:ind w:firstLine="709" w:left="0"/>
        <w:jc w:val="both"/>
        <w:rPr>
          <w:bCs/>
        </w:rPr>
      </w:pPr>
      <w:r>
        <w:rPr>
          <w:bCs/>
        </w:rPr>
        <w:t>Письменно известить Заказчика и до получения от него необходимых указаний приостановить Работу при обнаружении:</w:t>
      </w:r>
    </w:p>
    <w:p>
      <w:pPr>
        <w:pStyle w:val="ListParagraph"/>
        <w:numPr>
          <w:ilvl w:val="3"/>
          <w:numId w:val="2"/>
        </w:numPr>
        <w:shd w:val="clear" w:color="auto" w:fill="FFFFFF"/>
        <w:tabs>
          <w:tab w:val="clear" w:pos="708"/>
          <w:tab w:val="left" w:pos="1701" w:leader="none"/>
        </w:tabs>
        <w:ind w:firstLine="709" w:left="0"/>
        <w:jc w:val="both"/>
        <w:rPr>
          <w:bCs/>
        </w:rPr>
      </w:pPr>
      <w:r>
        <w:rPr>
          <w:bCs/>
        </w:rPr>
        <w:t xml:space="preserve">возможных неблагоприятных для Заказчика последствий выполнения его указаний – в любом случае не позднее момента начала выполнения таких указаний; </w:t>
      </w:r>
    </w:p>
    <w:p>
      <w:pPr>
        <w:pStyle w:val="ListParagraph"/>
        <w:numPr>
          <w:ilvl w:val="3"/>
          <w:numId w:val="2"/>
        </w:numPr>
        <w:shd w:val="clear" w:color="auto" w:fill="FFFFFF"/>
        <w:tabs>
          <w:tab w:val="clear" w:pos="708"/>
          <w:tab w:val="left" w:pos="1701" w:leader="none"/>
        </w:tabs>
        <w:ind w:firstLine="709" w:left="0"/>
        <w:jc w:val="both"/>
        <w:rPr>
          <w:bCs/>
        </w:rPr>
      </w:pPr>
      <w:r>
        <w:rPr>
          <w:bCs/>
        </w:rPr>
        <w:t>отклонения от требований действующих норм и правил, технической и иной документации, Договора и письменных указаний Заказчика, независимо от причин возникновения таких отклонений – в любом случае не позднее следующего рабочего дня после обнаружения таких отклонений;</w:t>
      </w:r>
    </w:p>
    <w:p>
      <w:pPr>
        <w:pStyle w:val="ListParagraph"/>
        <w:numPr>
          <w:ilvl w:val="3"/>
          <w:numId w:val="2"/>
        </w:numPr>
        <w:shd w:val="clear" w:color="auto" w:fill="FFFFFF"/>
        <w:tabs>
          <w:tab w:val="clear" w:pos="708"/>
          <w:tab w:val="left" w:pos="1701" w:leader="none"/>
        </w:tabs>
        <w:ind w:firstLine="709" w:left="0"/>
        <w:jc w:val="both"/>
        <w:rPr>
          <w:bCs/>
        </w:rPr>
      </w:pPr>
      <w:r>
        <w:rPr>
          <w:bCs/>
        </w:rPr>
        <w:t>любых иных обстоятельств, угрожающих годности или безопасности Результата работ, либо способных повлечь изменение объемов, сроков, качества или стоимости выполнения Работ, предусмотренных Договором – в любом случае не позднее следующего рабочего дня после обнаружения таких обстоятельств.</w:t>
      </w:r>
    </w:p>
    <w:p>
      <w:pPr>
        <w:pStyle w:val="ListParagraph"/>
        <w:shd w:val="clear" w:color="auto" w:fill="FFFFFF"/>
        <w:tabs>
          <w:tab w:val="clear" w:pos="708"/>
          <w:tab w:val="left" w:pos="567" w:leader="none"/>
        </w:tabs>
        <w:ind w:firstLine="709" w:left="0"/>
        <w:jc w:val="both"/>
        <w:rPr>
          <w:bCs/>
        </w:rPr>
      </w:pPr>
      <w:r>
        <w:rPr>
          <w:bCs/>
        </w:rPr>
        <w:t>Невыполнение Подрядчиком требований пункта 2.3.16 Договора лишает его права ссылаться на соответствующие обстоятельства, как на основание освобождения или ограничения своей ответственности по Договору.</w:t>
      </w:r>
    </w:p>
    <w:p>
      <w:pPr>
        <w:pStyle w:val="ListParagraph"/>
        <w:numPr>
          <w:ilvl w:val="2"/>
          <w:numId w:val="2"/>
        </w:numPr>
        <w:shd w:val="clear" w:color="auto" w:fill="FFFFFF"/>
        <w:tabs>
          <w:tab w:val="clear" w:pos="708"/>
          <w:tab w:val="left" w:pos="1418" w:leader="none"/>
        </w:tabs>
        <w:ind w:firstLine="709" w:left="0"/>
        <w:jc w:val="both"/>
        <w:rPr>
          <w:bCs/>
        </w:rPr>
      </w:pPr>
      <w:r>
        <w:rPr>
          <w:bCs/>
        </w:rPr>
        <w:t>Письменно уведомлять</w:t>
      </w:r>
      <w:r>
        <w:rPr/>
        <w:t xml:space="preserve"> Заказчика о любых внеплановых событиях и происшествиях, возникших в ходе исполнения Договора, включая, но не ограничиваясь:</w:t>
      </w:r>
    </w:p>
    <w:p>
      <w:pPr>
        <w:pStyle w:val="ListParagraph"/>
        <w:numPr>
          <w:ilvl w:val="0"/>
          <w:numId w:val="11"/>
        </w:numPr>
        <w:tabs>
          <w:tab w:val="clear" w:pos="708"/>
          <w:tab w:val="left" w:pos="1134" w:leader="none"/>
        </w:tabs>
        <w:ind w:firstLine="709" w:left="0" w:right="23"/>
        <w:jc w:val="both"/>
        <w:rPr/>
      </w:pPr>
      <w:r>
        <w:rPr/>
        <w:t>аварии – в течение 2 (двух) часов;</w:t>
      </w:r>
    </w:p>
    <w:p>
      <w:pPr>
        <w:pStyle w:val="ListParagraph"/>
        <w:numPr>
          <w:ilvl w:val="0"/>
          <w:numId w:val="11"/>
        </w:numPr>
        <w:tabs>
          <w:tab w:val="clear" w:pos="708"/>
          <w:tab w:val="left" w:pos="1134" w:leader="none"/>
        </w:tabs>
        <w:ind w:firstLine="709" w:left="0" w:right="23"/>
        <w:jc w:val="both"/>
        <w:rPr/>
      </w:pPr>
      <w:r>
        <w:rPr/>
        <w:t>любом несчастном случае независимо от степени его тяжести – в течение суток по форме Приложения, установленной Минтрудом России, а после окончания расследования предоставлять копии соответствующих материалов;</w:t>
      </w:r>
    </w:p>
    <w:p>
      <w:pPr>
        <w:pStyle w:val="ListParagraph"/>
        <w:numPr>
          <w:ilvl w:val="0"/>
          <w:numId w:val="11"/>
        </w:numPr>
        <w:tabs>
          <w:tab w:val="clear" w:pos="708"/>
          <w:tab w:val="left" w:pos="1134" w:leader="none"/>
        </w:tabs>
        <w:ind w:firstLine="709" w:left="0" w:right="23"/>
        <w:jc w:val="both"/>
        <w:rPr/>
      </w:pPr>
      <w:r>
        <w:rPr/>
        <w:t>хищении и иных противоправных действиях – в течение 24 (двадцати четырех) часов;</w:t>
      </w:r>
    </w:p>
    <w:p>
      <w:pPr>
        <w:pStyle w:val="ListParagraph"/>
        <w:numPr>
          <w:ilvl w:val="0"/>
          <w:numId w:val="11"/>
        </w:numPr>
        <w:tabs>
          <w:tab w:val="clear" w:pos="708"/>
          <w:tab w:val="left" w:pos="1134" w:leader="none"/>
        </w:tabs>
        <w:ind w:firstLine="709" w:left="0" w:right="23"/>
        <w:jc w:val="both"/>
        <w:rPr/>
      </w:pPr>
      <w:r>
        <w:rPr/>
        <w:t>аресте и / или блокировании счетов и / или иных обстоятельствах, влияющих на осуществление расчетов между Сторонами – в течение 24 (двадцати четырех) часов;</w:t>
      </w:r>
    </w:p>
    <w:p>
      <w:pPr>
        <w:pStyle w:val="ListParagraph"/>
        <w:numPr>
          <w:ilvl w:val="0"/>
          <w:numId w:val="11"/>
        </w:numPr>
        <w:tabs>
          <w:tab w:val="clear" w:pos="708"/>
          <w:tab w:val="left" w:pos="1134" w:leader="none"/>
        </w:tabs>
        <w:ind w:firstLine="709" w:left="0" w:right="23"/>
        <w:jc w:val="both"/>
        <w:rPr/>
      </w:pPr>
      <w:r>
        <w:rPr/>
        <w:t>забастовке персонала Субподрядчика, действиях третьих лиц, включая органы власти и местного самоуправления, прямо или косвенно касающихся исполнения обязательств Сторон по Договору – в течение 24 (двадцати четырех) часов;</w:t>
      </w:r>
    </w:p>
    <w:p>
      <w:pPr>
        <w:pStyle w:val="ListParagraph"/>
        <w:numPr>
          <w:ilvl w:val="0"/>
          <w:numId w:val="11"/>
        </w:numPr>
        <w:tabs>
          <w:tab w:val="clear" w:pos="708"/>
          <w:tab w:val="left" w:pos="1134" w:leader="none"/>
        </w:tabs>
        <w:ind w:firstLine="709" w:left="0" w:right="23"/>
        <w:jc w:val="both"/>
        <w:rPr/>
      </w:pPr>
      <w:r>
        <w:rPr/>
        <w:t>иных обстоятельствах, фактах, сообщениях в средствах массовой информации – в течение 24 (двадцати четырех) часов.</w:t>
      </w:r>
    </w:p>
    <w:p>
      <w:pPr>
        <w:pStyle w:val="ListParagraph"/>
        <w:numPr>
          <w:ilvl w:val="2"/>
          <w:numId w:val="2"/>
        </w:numPr>
        <w:shd w:val="clear" w:color="auto" w:fill="FFFFFF"/>
        <w:tabs>
          <w:tab w:val="clear" w:pos="708"/>
          <w:tab w:val="left" w:pos="1418" w:leader="none"/>
        </w:tabs>
        <w:ind w:firstLine="709" w:left="0"/>
        <w:jc w:val="both"/>
        <w:rPr>
          <w:bCs/>
        </w:rPr>
      </w:pPr>
      <w:r>
        <w:rPr/>
        <w:t xml:space="preserve">По требованию и в сроки, установленные Заказчиком, своими силами, средствами и за свой счет устранять недостатки, несоответствия, выявленные Заказчиком, а также недостатки и несоответствия, связанные с несогласованными с Заказчиком отступлениями от </w:t>
      </w:r>
      <w:r>
        <w:rPr>
          <w:bCs/>
        </w:rPr>
        <w:t>требований Договора.</w:t>
      </w:r>
    </w:p>
    <w:p>
      <w:pPr>
        <w:pStyle w:val="ListParagraph"/>
        <w:numPr>
          <w:ilvl w:val="2"/>
          <w:numId w:val="2"/>
        </w:numPr>
        <w:shd w:val="clear" w:color="auto" w:fill="FFFFFF"/>
        <w:tabs>
          <w:tab w:val="clear" w:pos="708"/>
          <w:tab w:val="left" w:pos="1418" w:leader="none"/>
        </w:tabs>
        <w:ind w:firstLine="709" w:left="0"/>
        <w:jc w:val="both"/>
        <w:rPr>
          <w:bCs/>
        </w:rPr>
      </w:pPr>
      <w:r>
        <w:rPr>
          <w:bCs/>
        </w:rPr>
        <w:t>Незамедлительно приступить к устранению недостатков Результата работ, о которых ему стало известно.</w:t>
      </w:r>
    </w:p>
    <w:p>
      <w:pPr>
        <w:pStyle w:val="ListParagraph"/>
        <w:shd w:val="clear" w:color="auto" w:fill="FFFFFF"/>
        <w:tabs>
          <w:tab w:val="clear" w:pos="708"/>
          <w:tab w:val="left" w:pos="1418" w:leader="none"/>
        </w:tabs>
        <w:ind w:firstLine="709" w:left="0"/>
        <w:jc w:val="both"/>
        <w:rPr>
          <w:bCs/>
        </w:rPr>
      </w:pPr>
      <w:r>
        <w:rPr>
          <w:bCs/>
        </w:rPr>
        <w:t xml:space="preserve">Подрядчик несет ответственность за несоответствие Результата работ Техническому заданию (Приложение № 1 к Договору), предоставленным Заказчиком или полученным Подрядчиком в рамках исполнения Договора исходным данным для проектирования, положениям Применимого права. Подрядчик несет ответственность за недостатки </w:t>
      </w:r>
      <w:r>
        <w:rPr>
          <w:shd w:fill="auto" w:val="clear"/>
          <w:lang w:eastAsia="en-US"/>
        </w:rPr>
        <w:t>Проектной документации и  Рабочей документации</w:t>
      </w:r>
      <w:r>
        <w:rPr>
          <w:bCs/>
          <w:shd w:fill="auto" w:val="clear"/>
        </w:rPr>
        <w:t xml:space="preserve">, включая обнаруженные в последствии в ходе строительства / реконструкции, а также в процессе эксплуатации Объекта, созданного на основе </w:t>
      </w:r>
      <w:r>
        <w:rPr>
          <w:shd w:fill="auto" w:val="clear"/>
          <w:lang w:eastAsia="en-US"/>
        </w:rPr>
        <w:t>Проектной документации и  Рабочей документации</w:t>
      </w:r>
      <w:r>
        <w:rPr>
          <w:bCs/>
          <w:shd w:fill="auto" w:val="clear"/>
        </w:rPr>
        <w:t>.</w:t>
      </w:r>
    </w:p>
    <w:p>
      <w:pPr>
        <w:pStyle w:val="ListParagraph"/>
        <w:numPr>
          <w:ilvl w:val="2"/>
          <w:numId w:val="2"/>
        </w:numPr>
        <w:shd w:val="clear" w:color="auto" w:fill="FFFFFF"/>
        <w:tabs>
          <w:tab w:val="clear" w:pos="708"/>
          <w:tab w:val="left" w:pos="1418" w:leader="none"/>
        </w:tabs>
        <w:ind w:firstLine="709" w:left="0"/>
        <w:jc w:val="both"/>
        <w:rPr>
          <w:bCs/>
        </w:rPr>
      </w:pPr>
      <w:r>
        <w:rPr>
          <w:bCs/>
        </w:rPr>
        <w:t>В случае предъявления налоговыми органами претензий и требований к Заказчику, связанных с предоставлением Подрядчиком недостоверных документов или информации либо недобросовестностью Субподрядчиков (любого лица из цепочки субподрядчиков),</w:t>
      </w:r>
      <w:r>
        <w:rPr/>
        <w:t xml:space="preserve"> </w:t>
      </w:r>
      <w:r>
        <w:rPr>
          <w:bCs/>
        </w:rPr>
        <w:t xml:space="preserve">привлеченных Подрядчиком к выполнению Работ по Договору, компенсировать все убытки Заказчика, вызванные такими претензиями и требованиями.  </w:t>
      </w:r>
    </w:p>
    <w:p>
      <w:pPr>
        <w:pStyle w:val="ListParagraph"/>
        <w:numPr>
          <w:ilvl w:val="2"/>
          <w:numId w:val="2"/>
        </w:numPr>
        <w:shd w:val="clear" w:color="auto" w:fill="FFFFFF"/>
        <w:tabs>
          <w:tab w:val="clear" w:pos="708"/>
          <w:tab w:val="left" w:pos="1418" w:leader="none"/>
        </w:tabs>
        <w:ind w:firstLine="709" w:left="0"/>
        <w:jc w:val="both"/>
        <w:rPr/>
      </w:pPr>
      <w:r>
        <w:rPr/>
        <w:t>Не передавать Результат работ, а также иные документы, оформленные или полученные в ходе выполнения Подрядчиком обязательств по Договору, третьим лицам без письменного согласия Заказчика, за исключением случаев, когда такая передача предусмотрена законодательством Российской Федерации и / или Договором.</w:t>
      </w:r>
    </w:p>
    <w:p>
      <w:pPr>
        <w:pStyle w:val="ListParagraph"/>
        <w:numPr>
          <w:ilvl w:val="2"/>
          <w:numId w:val="2"/>
        </w:numPr>
        <w:shd w:val="clear" w:color="auto" w:fill="FFFFFF"/>
        <w:tabs>
          <w:tab w:val="clear" w:pos="708"/>
          <w:tab w:val="left" w:pos="1418" w:leader="none"/>
        </w:tabs>
        <w:ind w:firstLine="709" w:left="0"/>
        <w:jc w:val="both"/>
        <w:rPr>
          <w:highlight w:val="none"/>
          <w:shd w:fill="auto" w:val="clear"/>
        </w:rPr>
      </w:pPr>
      <w:bookmarkStart w:id="8" w:name="_GoBack1"/>
      <w:bookmarkEnd w:id="8"/>
      <w:r>
        <w:rPr>
          <w:shd w:fill="auto" w:val="clear"/>
        </w:rPr>
        <w:t>Подписать акты сверки взаимных расчетов, направленные Заказчиком в 2 (двух) экземплярах, и вернуть 1 (один) экземпляр Заказчику в течение 5 (пяти) рабочих дней с даты получения экземпляров актов сверки расчетов от Заказчика.</w:t>
      </w:r>
    </w:p>
    <w:p>
      <w:pPr>
        <w:pStyle w:val="ListParagraph"/>
        <w:numPr>
          <w:ilvl w:val="2"/>
          <w:numId w:val="2"/>
        </w:numPr>
        <w:shd w:val="clear" w:color="auto" w:fill="FFFFFF"/>
        <w:tabs>
          <w:tab w:val="clear" w:pos="708"/>
          <w:tab w:val="left" w:pos="1418" w:leader="none"/>
        </w:tabs>
        <w:ind w:firstLine="709" w:left="0"/>
        <w:jc w:val="both"/>
        <w:rPr>
          <w:highlight w:val="none"/>
          <w:shd w:fill="auto" w:val="clear"/>
        </w:rPr>
      </w:pPr>
      <w:r>
        <w:rPr>
          <w:b w:val="false"/>
          <w:bCs w:val="false"/>
          <w:i w:val="false"/>
          <w:iCs w:val="false"/>
          <w:sz w:val="24"/>
          <w:szCs w:val="24"/>
          <w:shd w:fill="auto" w:val="clear"/>
        </w:rPr>
        <w:t xml:space="preserve">Соблюдать требования, установленные в Техническом задании (Приложение №1), в том числе о </w:t>
      </w:r>
      <w:r>
        <w:rPr>
          <w:b w:val="false"/>
          <w:bCs/>
          <w:i w:val="false"/>
          <w:iCs w:val="false"/>
          <w:sz w:val="24"/>
          <w:szCs w:val="24"/>
          <w:shd w:fill="auto" w:val="clear"/>
        </w:rPr>
        <w:t xml:space="preserve">наличии </w:t>
      </w:r>
      <w:r>
        <w:rPr>
          <w:b w:val="false"/>
          <w:bCs w:val="false"/>
          <w:i w:val="false"/>
          <w:iCs w:val="false"/>
          <w:sz w:val="24"/>
          <w:szCs w:val="24"/>
          <w:shd w:fill="auto" w:val="clear"/>
        </w:rPr>
        <w:t>необходимых для выполнения работ кадровых ресурсов (персонала), техники и материально-технических ресурсов.</w:t>
      </w:r>
    </w:p>
    <w:p>
      <w:pPr>
        <w:pStyle w:val="ListParagraph"/>
        <w:numPr>
          <w:ilvl w:val="2"/>
          <w:numId w:val="2"/>
        </w:numPr>
        <w:shd w:val="clear" w:color="auto" w:fill="FFFFFF"/>
        <w:tabs>
          <w:tab w:val="clear" w:pos="708"/>
          <w:tab w:val="left" w:pos="1418" w:leader="none"/>
        </w:tabs>
        <w:ind w:firstLine="709" w:left="0"/>
        <w:jc w:val="both"/>
        <w:rPr>
          <w:highlight w:val="none"/>
          <w:shd w:fill="auto" w:val="clear"/>
        </w:rPr>
      </w:pPr>
      <w:r>
        <w:rPr>
          <w:b w:val="false"/>
          <w:bCs w:val="false"/>
          <w:i w:val="false"/>
          <w:iCs w:val="false"/>
          <w:caps w:val="false"/>
          <w:smallCaps w:val="false"/>
          <w:sz w:val="24"/>
          <w:szCs w:val="24"/>
          <w:shd w:fill="auto" w:val="clear"/>
        </w:rPr>
        <w:t xml:space="preserve">В течение 5 (пяти) рабочих дней с момента заключения договора, а также в случае получения требования Заказчика, указанного в п.3.2.9 Договора, предоставить Заказчику полную информацию о </w:t>
      </w:r>
      <w:r>
        <w:rPr>
          <w:b w:val="false"/>
          <w:bCs/>
          <w:i w:val="false"/>
          <w:iCs w:val="false"/>
          <w:caps w:val="false"/>
          <w:smallCaps w:val="false"/>
          <w:sz w:val="24"/>
          <w:szCs w:val="24"/>
          <w:shd w:fill="auto" w:val="clear"/>
        </w:rPr>
        <w:t xml:space="preserve">наличии </w:t>
      </w:r>
      <w:r>
        <w:rPr>
          <w:b w:val="false"/>
          <w:bCs w:val="false"/>
          <w:i w:val="false"/>
          <w:iCs w:val="false"/>
          <w:caps w:val="false"/>
          <w:smallCaps w:val="false"/>
          <w:sz w:val="24"/>
          <w:szCs w:val="24"/>
          <w:shd w:fill="auto" w:val="clear"/>
        </w:rPr>
        <w:t>необходимых для выполнения работ кадровых ресурсов (персонала), техники и материально-технических ресурсов с предоставлением подтверждающих документов, в том числе указанных в требовании Заказчика</w:t>
      </w:r>
      <w:r>
        <w:rPr>
          <w:b w:val="false"/>
          <w:bCs/>
          <w:i w:val="false"/>
          <w:iCs w:val="false"/>
          <w:caps w:val="false"/>
          <w:smallCaps w:val="false"/>
          <w:sz w:val="24"/>
          <w:szCs w:val="24"/>
          <w:shd w:fill="auto" w:val="clear"/>
        </w:rPr>
        <w:t>.</w:t>
      </w:r>
    </w:p>
    <w:p>
      <w:pPr>
        <w:pStyle w:val="ListParagraph"/>
        <w:numPr>
          <w:ilvl w:val="2"/>
          <w:numId w:val="2"/>
        </w:numPr>
        <w:shd w:val="clear" w:color="auto" w:fill="FFFFFF"/>
        <w:tabs>
          <w:tab w:val="clear" w:pos="708"/>
          <w:tab w:val="left" w:pos="1418" w:leader="none"/>
        </w:tabs>
        <w:ind w:firstLine="709" w:left="0"/>
        <w:jc w:val="both"/>
        <w:rPr/>
      </w:pPr>
      <w:r>
        <w:rPr>
          <w:shd w:fill="auto" w:val="clear"/>
        </w:rPr>
        <w:t>Исполнять иные обязанности, предусмотренные Договором</w:t>
      </w:r>
      <w:r>
        <w:rPr/>
        <w:t xml:space="preserve"> и </w:t>
      </w:r>
      <w:r>
        <w:rPr>
          <w:bCs/>
        </w:rPr>
        <w:t>законодательством Российской Федерации.</w:t>
      </w:r>
      <w:r>
        <w:rPr/>
        <w:t xml:space="preserve"> </w:t>
      </w:r>
    </w:p>
    <w:p>
      <w:pPr>
        <w:pStyle w:val="Normal"/>
        <w:spacing w:lineRule="auto" w:line="240"/>
        <w:ind w:firstLine="709"/>
        <w:rPr>
          <w:sz w:val="24"/>
          <w:szCs w:val="24"/>
        </w:rPr>
      </w:pPr>
      <w:r>
        <w:rPr>
          <w:sz w:val="24"/>
          <w:szCs w:val="24"/>
        </w:rPr>
      </w:r>
    </w:p>
    <w:p>
      <w:pPr>
        <w:pStyle w:val="ListParagraph"/>
        <w:numPr>
          <w:ilvl w:val="1"/>
          <w:numId w:val="2"/>
        </w:numPr>
        <w:shd w:val="clear" w:color="auto" w:fill="FFFFFF"/>
        <w:tabs>
          <w:tab w:val="clear" w:pos="708"/>
          <w:tab w:val="left" w:pos="1134" w:leader="none"/>
        </w:tabs>
        <w:ind w:firstLine="709" w:left="0"/>
        <w:jc w:val="both"/>
        <w:rPr>
          <w:bCs/>
        </w:rPr>
      </w:pPr>
      <w:r>
        <w:rPr>
          <w:bCs/>
          <w:u w:val="single"/>
        </w:rPr>
        <w:t>Подрядчик имеет право</w:t>
      </w:r>
      <w:r>
        <w:rPr>
          <w:bCs/>
        </w:rPr>
        <w:t>:</w:t>
      </w:r>
    </w:p>
    <w:p>
      <w:pPr>
        <w:pStyle w:val="ListParagraph"/>
        <w:numPr>
          <w:ilvl w:val="2"/>
          <w:numId w:val="2"/>
        </w:numPr>
        <w:shd w:val="clear" w:color="auto" w:fill="FFFFFF"/>
        <w:tabs>
          <w:tab w:val="clear" w:pos="708"/>
          <w:tab w:val="left" w:pos="1418" w:leader="none"/>
        </w:tabs>
        <w:ind w:firstLine="709" w:left="0"/>
        <w:jc w:val="both"/>
        <w:rPr>
          <w:bCs/>
        </w:rPr>
      </w:pPr>
      <w:r>
        <w:rPr>
          <w:bCs/>
        </w:rPr>
        <w:t>Самостоятельно организовать выполнение Работ.</w:t>
      </w:r>
    </w:p>
    <w:p>
      <w:pPr>
        <w:pStyle w:val="ListParagraph"/>
        <w:numPr>
          <w:ilvl w:val="2"/>
          <w:numId w:val="2"/>
        </w:numPr>
        <w:shd w:val="clear" w:color="auto" w:fill="FFFFFF"/>
        <w:tabs>
          <w:tab w:val="clear" w:pos="708"/>
          <w:tab w:val="left" w:pos="1418" w:leader="none"/>
        </w:tabs>
        <w:ind w:firstLine="709" w:left="0"/>
        <w:jc w:val="both"/>
        <w:rPr>
          <w:bCs/>
        </w:rPr>
      </w:pPr>
      <w:r>
        <w:rPr>
          <w:bCs/>
        </w:rPr>
        <w:t>При необходимости по предварительному письменному согласованию с Заказчиком заключать договоры субподряда в совокупности не более чем на 5</w:t>
      </w:r>
      <w:r>
        <w:rPr>
          <w:bCs/>
          <w:shd w:fill="auto" w:val="clear"/>
        </w:rPr>
        <w:t>0 % (пятьдесят процентов)</w:t>
      </w:r>
      <w:r>
        <w:rPr>
          <w:rStyle w:val="FootnoteReference"/>
          <w:bCs/>
          <w:shd w:fill="auto" w:val="clear"/>
        </w:rPr>
        <w:footnoteReference w:id="8"/>
      </w:r>
      <w:r>
        <w:rPr>
          <w:bCs/>
          <w:shd w:fill="auto" w:val="clear"/>
        </w:rPr>
        <w:t xml:space="preserve"> </w:t>
      </w:r>
      <w:r>
        <w:rPr>
          <w:bCs/>
        </w:rPr>
        <w:t xml:space="preserve">от Цены Договора, неся при этом ответственность за действия Субподрядчиков, как за свои собственные. </w:t>
      </w:r>
    </w:p>
    <w:p>
      <w:pPr>
        <w:pStyle w:val="ListParagraph"/>
        <w:shd w:val="clear" w:color="auto" w:fill="FFFFFF"/>
        <w:tabs>
          <w:tab w:val="clear" w:pos="708"/>
          <w:tab w:val="left" w:pos="1418" w:leader="none"/>
        </w:tabs>
        <w:ind w:firstLine="709" w:left="0"/>
        <w:jc w:val="both"/>
        <w:rPr>
          <w:bCs/>
        </w:rPr>
      </w:pPr>
      <w:r>
        <w:rPr>
          <w:bCs/>
        </w:rPr>
        <w:t xml:space="preserve">При согласовании привлечения Субподрядчика Подрядчик представляет Заказчику: </w:t>
      </w:r>
    </w:p>
    <w:p>
      <w:pPr>
        <w:pStyle w:val="ListParagraph"/>
        <w:numPr>
          <w:ilvl w:val="0"/>
          <w:numId w:val="12"/>
        </w:numPr>
        <w:shd w:val="clear" w:color="auto" w:fill="FFFFFF"/>
        <w:tabs>
          <w:tab w:val="clear" w:pos="708"/>
          <w:tab w:val="left" w:pos="709" w:leader="none"/>
        </w:tabs>
        <w:ind w:firstLine="709" w:left="0"/>
        <w:jc w:val="both"/>
        <w:rPr>
          <w:bCs/>
        </w:rPr>
      </w:pPr>
      <w:r>
        <w:rPr>
          <w:bCs/>
        </w:rPr>
        <w:t xml:space="preserve">проект договора с Субподрядчиком; </w:t>
      </w:r>
    </w:p>
    <w:p>
      <w:pPr>
        <w:pStyle w:val="ListParagraph"/>
        <w:numPr>
          <w:ilvl w:val="0"/>
          <w:numId w:val="12"/>
        </w:numPr>
        <w:shd w:val="clear" w:color="auto" w:fill="FFFFFF"/>
        <w:tabs>
          <w:tab w:val="clear" w:pos="708"/>
          <w:tab w:val="left" w:pos="709" w:leader="none"/>
        </w:tabs>
        <w:ind w:firstLine="709" w:left="0"/>
        <w:jc w:val="both"/>
        <w:rPr>
          <w:bCs/>
        </w:rPr>
      </w:pPr>
      <w:r>
        <w:rPr>
          <w:bCs/>
        </w:rPr>
        <w:t xml:space="preserve">сведения об объемах выполнения работ Субподрядчиком; </w:t>
      </w:r>
    </w:p>
    <w:p>
      <w:pPr>
        <w:pStyle w:val="ListParagraph"/>
        <w:numPr>
          <w:ilvl w:val="0"/>
          <w:numId w:val="12"/>
        </w:numPr>
        <w:shd w:val="clear" w:color="auto" w:fill="FFFFFF"/>
        <w:tabs>
          <w:tab w:val="clear" w:pos="708"/>
          <w:tab w:val="left" w:pos="709" w:leader="none"/>
        </w:tabs>
        <w:ind w:firstLine="709" w:left="0"/>
        <w:jc w:val="both"/>
        <w:rPr>
          <w:bCs/>
        </w:rPr>
      </w:pPr>
      <w:r>
        <w:rPr>
          <w:bCs/>
        </w:rPr>
        <w:t xml:space="preserve">пофамильный перечень персонала Субподрядчика, который будет задействован при производстве Работ </w:t>
      </w:r>
      <w:r>
        <w:rPr/>
        <w:t>с указанием их паспортных данных, должности, приложением согласия персонала на обработку персональных данных, копий приказов о приеме на работу или иных документов, подтверждающих договорные отношения персонала с Субподрядчиком</w:t>
      </w:r>
      <w:r>
        <w:rPr>
          <w:bCs/>
        </w:rPr>
        <w:t xml:space="preserve">;; </w:t>
      </w:r>
    </w:p>
    <w:p>
      <w:pPr>
        <w:pStyle w:val="ListParagraph"/>
        <w:numPr>
          <w:ilvl w:val="0"/>
          <w:numId w:val="12"/>
        </w:numPr>
        <w:shd w:val="clear" w:color="auto" w:fill="FFFFFF"/>
        <w:tabs>
          <w:tab w:val="clear" w:pos="708"/>
          <w:tab w:val="left" w:pos="709" w:leader="none"/>
        </w:tabs>
        <w:ind w:firstLine="709" w:left="0"/>
        <w:jc w:val="both"/>
        <w:rPr>
          <w:bCs/>
        </w:rPr>
      </w:pPr>
      <w:r>
        <w:rPr>
          <w:bCs/>
        </w:rPr>
        <w:t xml:space="preserve">копии документов, подтверждающих наличие у Субподрядчика и его персонала допусков, разрешений и лицензий, необходимых для выполнения Работ, </w:t>
      </w:r>
    </w:p>
    <w:p>
      <w:pPr>
        <w:pStyle w:val="ListParagraph"/>
        <w:shd w:val="clear" w:color="auto" w:fill="FFFFFF"/>
        <w:tabs>
          <w:tab w:val="clear" w:pos="708"/>
          <w:tab w:val="left" w:pos="1276" w:leader="none"/>
          <w:tab w:val="left" w:pos="1418" w:leader="none"/>
        </w:tabs>
        <w:ind w:firstLine="709" w:left="0"/>
        <w:jc w:val="both"/>
        <w:rPr>
          <w:b/>
          <w:bCs/>
          <w:highlight w:val="yellow"/>
        </w:rPr>
      </w:pPr>
      <w:r>
        <w:rPr>
          <w:b/>
          <w:bCs/>
          <w:highlight w:val="yellow"/>
        </w:rPr>
      </w:r>
    </w:p>
    <w:p>
      <w:pPr>
        <w:pStyle w:val="ListParagraph"/>
        <w:numPr>
          <w:ilvl w:val="0"/>
          <w:numId w:val="2"/>
        </w:numPr>
        <w:shd w:val="clear" w:color="auto" w:fill="FFFFFF"/>
        <w:tabs>
          <w:tab w:val="clear" w:pos="708"/>
          <w:tab w:val="left" w:pos="284" w:leader="none"/>
        </w:tabs>
        <w:ind w:hanging="0" w:left="0"/>
        <w:jc w:val="center"/>
        <w:rPr/>
      </w:pPr>
      <w:r>
        <w:rPr>
          <w:b/>
          <w:bCs/>
        </w:rPr>
        <w:t>Цена Договора и порядок расчетов</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Цена </w:t>
      </w:r>
      <w:r>
        <w:rPr/>
        <w:t xml:space="preserve">Договора </w:t>
      </w:r>
      <w:r>
        <w:rPr>
          <w:bCs/>
        </w:rPr>
        <w:t xml:space="preserve">в соответствии со Сводной сметой с приложениями (Приложение № 2 к Договору) является </w:t>
      </w:r>
      <w:r>
        <w:rPr>
          <w:bCs/>
          <w:highlight w:val="lightGray"/>
        </w:rPr>
        <w:t>предельной / твердой</w:t>
      </w:r>
      <w:r>
        <w:rPr>
          <w:bCs/>
        </w:rPr>
        <w:t xml:space="preserve"> и составляет </w:t>
      </w:r>
      <w:r>
        <w:rPr>
          <w:highlight w:val="lightGray"/>
        </w:rPr>
        <w:t>_______</w:t>
      </w:r>
      <w:r>
        <w:rPr>
          <w:bCs/>
        </w:rPr>
        <w:t xml:space="preserve"> (</w:t>
      </w:r>
      <w:r>
        <w:rPr>
          <w:highlight w:val="lightGray"/>
        </w:rPr>
        <w:t>__________________</w:t>
      </w:r>
      <w:r>
        <w:rPr>
          <w:bCs/>
          <w:highlight w:val="lightGray"/>
        </w:rPr>
        <w:t>)</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Налогового кодекса РФ (далее – «НК РФ») . </w:t>
      </w:r>
    </w:p>
    <w:p>
      <w:pPr>
        <w:pStyle w:val="ListParagraph"/>
        <w:numPr>
          <w:ilvl w:val="2"/>
          <w:numId w:val="2"/>
        </w:numPr>
        <w:shd w:val="clear" w:color="auto" w:fill="FFFFFF"/>
        <w:tabs>
          <w:tab w:val="clear" w:pos="708"/>
          <w:tab w:val="left" w:pos="1418" w:leader="none"/>
        </w:tabs>
        <w:ind w:firstLine="709" w:left="0"/>
        <w:jc w:val="both"/>
        <w:rPr>
          <w:bCs/>
        </w:rPr>
      </w:pPr>
      <w:r>
        <w:rPr>
          <w:highlight w:val="lightGray"/>
        </w:rPr>
        <w:t xml:space="preserve">Предельная </w:t>
      </w:r>
      <w:r>
        <w:rPr>
          <w:bCs/>
          <w:highlight w:val="lightGray"/>
        </w:rPr>
        <w:t>/ Твердая</w:t>
      </w:r>
      <w:r>
        <w:rPr>
          <w:bCs/>
        </w:rPr>
        <w:t xml:space="preserve"> цена Работ составляет </w:t>
      </w:r>
      <w:r>
        <w:rPr>
          <w:highlight w:val="lightGray"/>
        </w:rPr>
        <w:t>_______</w:t>
      </w:r>
      <w:r>
        <w:rPr/>
        <w:t xml:space="preserve"> </w:t>
      </w:r>
      <w:r>
        <w:rPr>
          <w:bCs/>
        </w:rPr>
        <w:t>(</w:t>
      </w:r>
      <w:r>
        <w:rPr>
          <w:highlight w:val="lightGray"/>
        </w:rPr>
        <w:t>_______________</w:t>
      </w:r>
      <w:r>
        <w:rPr>
          <w:bCs/>
        </w:rPr>
        <w:t xml:space="preserve">) рублей </w:t>
      </w:r>
      <w:r>
        <w:rPr>
          <w:highlight w:val="lightGray"/>
        </w:rPr>
        <w:t>___</w:t>
      </w:r>
      <w:r>
        <w:rPr>
          <w:bCs/>
        </w:rPr>
        <w:t xml:space="preserve"> копеек без учета НДС, при этом НДС исчисляется дополнительно по ставке, установленной статьей 164 НК РФ.</w:t>
      </w:r>
    </w:p>
    <w:p>
      <w:pPr>
        <w:pStyle w:val="ListParagraph"/>
        <w:widowControl/>
        <w:numPr>
          <w:ilvl w:val="1"/>
          <w:numId w:val="2"/>
        </w:numPr>
        <w:shd w:val="clear" w:color="auto" w:fill="FFFFFF"/>
        <w:tabs>
          <w:tab w:val="clear" w:pos="708"/>
          <w:tab w:val="left" w:pos="1134" w:leader="none"/>
        </w:tabs>
        <w:suppressAutoHyphens w:val="true"/>
        <w:bidi w:val="0"/>
        <w:spacing w:lineRule="auto" w:line="240" w:before="0" w:after="0"/>
        <w:ind w:firstLine="737" w:left="0" w:right="0"/>
        <w:contextualSpacing/>
        <w:jc w:val="both"/>
        <w:rPr>
          <w:highlight w:val="lightGray"/>
        </w:rPr>
      </w:pPr>
      <w:r>
        <w:rPr/>
        <w:t>Сметы являются неотъемлемой частью Сводной сметы с приложениями (Приложение № 3 к Договору).</w:t>
      </w:r>
    </w:p>
    <w:p>
      <w:pPr>
        <w:pStyle w:val="ListParagraph"/>
        <w:numPr>
          <w:ilvl w:val="1"/>
          <w:numId w:val="2"/>
        </w:numPr>
        <w:shd w:val="clear" w:color="auto" w:fill="FFFFFF"/>
        <w:tabs>
          <w:tab w:val="clear" w:pos="708"/>
          <w:tab w:val="left" w:pos="1134" w:leader="none"/>
        </w:tabs>
        <w:ind w:firstLine="709" w:left="0"/>
        <w:jc w:val="both"/>
        <w:rPr/>
      </w:pPr>
      <w:r>
        <w:rPr>
          <w:bCs/>
        </w:rPr>
        <w:t>Цена Договора включает в себя прибыль Подрядчика, а также все расходы и затраты Подрядчика на:</w:t>
      </w:r>
    </w:p>
    <w:p>
      <w:pPr>
        <w:pStyle w:val="ListParagraph"/>
        <w:numPr>
          <w:ilvl w:val="2"/>
          <w:numId w:val="2"/>
        </w:numPr>
        <w:shd w:val="clear" w:color="auto" w:fill="FFFFFF"/>
        <w:tabs>
          <w:tab w:val="clear" w:pos="708"/>
          <w:tab w:val="left" w:pos="1418" w:leader="none"/>
        </w:tabs>
        <w:ind w:firstLine="709" w:left="0"/>
        <w:jc w:val="both"/>
        <w:rPr/>
      </w:pPr>
      <w:r>
        <w:rPr/>
        <w:t xml:space="preserve">Приобретение Материально-технических ресурсов </w:t>
      </w:r>
      <w:r>
        <w:rPr>
          <w:bCs/>
        </w:rPr>
        <w:t>и оборудования</w:t>
      </w:r>
      <w:r>
        <w:rPr/>
        <w:t>, необходимых для выполнения Работ по Договору, включая стоимость необходимых для эксплуатации Результата работ лицензий.</w:t>
      </w:r>
    </w:p>
    <w:p>
      <w:pPr>
        <w:pStyle w:val="ListParagraph"/>
        <w:numPr>
          <w:ilvl w:val="2"/>
          <w:numId w:val="2"/>
        </w:numPr>
        <w:shd w:val="clear" w:color="auto" w:fill="FFFFFF"/>
        <w:tabs>
          <w:tab w:val="clear" w:pos="708"/>
          <w:tab w:val="left" w:pos="1418" w:leader="none"/>
        </w:tabs>
        <w:ind w:firstLine="709" w:left="0"/>
        <w:jc w:val="both"/>
        <w:rPr/>
      </w:pPr>
      <w:r>
        <w:rPr/>
        <w:t xml:space="preserve">Заработную плату, накладные и командировочные расходы, перемещение и размещение персонала Подрядчика. </w:t>
      </w:r>
    </w:p>
    <w:p>
      <w:pPr>
        <w:pStyle w:val="ListParagraph"/>
        <w:numPr>
          <w:ilvl w:val="2"/>
          <w:numId w:val="2"/>
        </w:numPr>
        <w:shd w:val="clear" w:color="auto" w:fill="FFFFFF"/>
        <w:tabs>
          <w:tab w:val="clear" w:pos="708"/>
          <w:tab w:val="left" w:pos="1418" w:leader="none"/>
        </w:tabs>
        <w:ind w:firstLine="709" w:left="0"/>
        <w:jc w:val="both"/>
        <w:rPr/>
      </w:pPr>
      <w:r>
        <w:rPr/>
        <w:t>Подлежащие уплате налоги (в том числе НДС), сборы и пошлины (в том числе по таможенному оформлению Материально-технических ресурсов</w:t>
      </w:r>
      <w:r>
        <w:rPr>
          <w:bCs/>
        </w:rPr>
        <w:t xml:space="preserve"> и оборудования</w:t>
      </w:r>
      <w:r>
        <w:rPr/>
        <w:t xml:space="preserve">, если применимо). </w:t>
      </w:r>
    </w:p>
    <w:p>
      <w:pPr>
        <w:pStyle w:val="ListParagraph"/>
        <w:numPr>
          <w:ilvl w:val="2"/>
          <w:numId w:val="2"/>
        </w:numPr>
        <w:shd w:val="clear" w:color="auto" w:fill="FFFFFF"/>
        <w:tabs>
          <w:tab w:val="clear" w:pos="708"/>
          <w:tab w:val="left" w:pos="1418" w:leader="none"/>
        </w:tabs>
        <w:ind w:firstLine="709" w:left="0"/>
        <w:jc w:val="both"/>
        <w:rPr/>
      </w:pPr>
      <w:r>
        <w:rPr/>
        <w:t xml:space="preserve">Все прочие затраты и расходы Подрядчика, связанные выполнением Работ и исполнением иных обязательств по Договору (за исключением случаев, когда законодательством Российской Федерации предусмотрено несение соответствующих расходов Заказчиком самостоятельно), а также все непредвиденные расходы, которые могут возникнуть у Подрядчика в течение срока действия Договора. </w:t>
      </w:r>
    </w:p>
    <w:p>
      <w:pPr>
        <w:pStyle w:val="ListParagraph"/>
        <w:numPr>
          <w:ilvl w:val="1"/>
          <w:numId w:val="2"/>
        </w:numPr>
        <w:shd w:val="clear" w:color="auto" w:fill="FFFFFF"/>
        <w:tabs>
          <w:tab w:val="clear" w:pos="708"/>
          <w:tab w:val="left" w:pos="1134" w:leader="none"/>
        </w:tabs>
        <w:ind w:firstLine="709" w:left="0"/>
        <w:jc w:val="both"/>
        <w:rPr>
          <w:bCs/>
        </w:rPr>
      </w:pPr>
      <w:r>
        <w:rPr>
          <w:bCs/>
        </w:rPr>
        <w:t>Изменение стоимости Работ по Договору не требует заключения дополнительного соглашения к Договору только в случае, когда оно вызвано изменением ставки НДС, установленной статьей 164 НК РФ.</w:t>
      </w:r>
    </w:p>
    <w:p>
      <w:pPr>
        <w:pStyle w:val="ListParagraph"/>
        <w:numPr>
          <w:ilvl w:val="1"/>
          <w:numId w:val="2"/>
        </w:numPr>
        <w:shd w:val="clear" w:color="auto" w:fill="FFFFFF"/>
        <w:tabs>
          <w:tab w:val="clear" w:pos="708"/>
          <w:tab w:val="left" w:pos="1134" w:leader="none"/>
        </w:tabs>
        <w:ind w:firstLine="709" w:left="0"/>
        <w:jc w:val="both"/>
        <w:rPr>
          <w:bCs/>
        </w:rPr>
      </w:pPr>
      <w:bookmarkStart w:id="9" w:name="_Ref361834675"/>
      <w:bookmarkStart w:id="10" w:name="_Ref361858588"/>
      <w:r>
        <w:rPr>
          <w:bCs/>
        </w:rPr>
        <w:t>Оплата по Договору осуществляется Заказчиком в следующем порядке:</w:t>
      </w:r>
      <w:bookmarkEnd w:id="9"/>
      <w:bookmarkEnd w:id="10"/>
      <w:r>
        <w:rPr>
          <w:bCs/>
        </w:rPr>
        <w:t xml:space="preserve"> </w:t>
      </w:r>
    </w:p>
    <w:p>
      <w:pPr>
        <w:pStyle w:val="ListParagraph"/>
        <w:numPr>
          <w:ilvl w:val="2"/>
          <w:numId w:val="2"/>
        </w:numPr>
        <w:shd w:val="clear" w:color="auto" w:fill="FFFFFF"/>
        <w:tabs>
          <w:tab w:val="clear" w:pos="708"/>
          <w:tab w:val="left" w:pos="1418" w:leader="none"/>
        </w:tabs>
        <w:ind w:firstLine="709" w:left="0"/>
        <w:jc w:val="both"/>
        <w:rPr/>
      </w:pPr>
      <w:bookmarkStart w:id="11" w:name="_Ref361335023"/>
      <w:bookmarkStart w:id="12" w:name="_Ref373242766"/>
      <w:r>
        <w:rPr>
          <w:bCs/>
        </w:rPr>
        <w:t>Авансовый платеж в счет стоимости Работ в размере 30 (тридцати) процентов от стоимости Работ,</w:t>
      </w:r>
      <w:r>
        <w:rPr>
          <w:b/>
          <w:bCs/>
        </w:rPr>
        <w:t xml:space="preserve"> указанной в пункте 3.1 Договора, </w:t>
      </w:r>
      <w:r>
        <w:rPr>
          <w:bCs/>
        </w:rPr>
        <w:t>без учета НДС, кроме того НДС по ставке, установленной статьей 164 НК РФ на дату выплаты авансового платежа, выплачивается в течение 30 (тридцати) календарных дней с даты получения Заказчиком счета, выставленного Подрядчиком, но не ранее чем за 30 (тридцать) календарных дней</w:t>
      </w:r>
      <w:r>
        <w:rPr/>
        <w:t xml:space="preserve"> до даты начала Работ, определенной пунктом 1.5.1 Договора, </w:t>
      </w:r>
      <w:bookmarkEnd w:id="12"/>
      <w:r>
        <w:rPr>
          <w:b/>
          <w:bCs/>
        </w:rPr>
        <w:t>и с учетом пункта 3.5.3 Договора.</w:t>
      </w:r>
    </w:p>
    <w:p>
      <w:pPr>
        <w:pStyle w:val="ListParagraph"/>
        <w:numPr>
          <w:ilvl w:val="2"/>
          <w:numId w:val="2"/>
        </w:numPr>
        <w:shd w:val="clear" w:color="auto" w:fill="FFFFFF"/>
        <w:tabs>
          <w:tab w:val="clear" w:pos="708"/>
          <w:tab w:val="left" w:pos="1418" w:leader="none"/>
        </w:tabs>
        <w:ind w:firstLine="709" w:left="0"/>
        <w:jc w:val="both"/>
        <w:rPr/>
      </w:pPr>
      <w:r>
        <w:rPr>
          <w:bCs/>
        </w:rPr>
        <w:t>Последующий платеж</w:t>
      </w:r>
      <w:r>
        <w:rPr/>
        <w:t xml:space="preserve"> в размере разницы между стоимостью Работ,  определенной с учетом НДС</w:t>
      </w:r>
      <w:r>
        <w:rPr>
          <w:bCs/>
        </w:rPr>
        <w:t xml:space="preserve"> по ставке, установленной статьей 164 НК РФ на дату подписания Сторонами документов, указанных в пункте 4.1 Договора,</w:t>
      </w:r>
      <w:r>
        <w:rPr/>
        <w:t xml:space="preserve"> и </w:t>
      </w:r>
      <w:r>
        <w:rPr>
          <w:bCs/>
        </w:rPr>
        <w:t>суммой</w:t>
      </w:r>
      <w:r>
        <w:rPr/>
        <w:t xml:space="preserve"> </w:t>
      </w:r>
      <w:r>
        <w:rPr>
          <w:bCs/>
        </w:rPr>
        <w:t>авансового платежа, ранее уплаченного</w:t>
      </w:r>
      <w:r>
        <w:rPr/>
        <w:t xml:space="preserve"> Заказчиком в соответствии с пунктом 3.5.1</w:t>
      </w:r>
      <w:r>
        <w:rPr>
          <w:bCs/>
        </w:rPr>
        <w:t xml:space="preserve"> Договора, выплачивается</w:t>
      </w:r>
      <w:r>
        <w:rPr>
          <w:b/>
          <w:bCs/>
        </w:rPr>
        <w:t xml:space="preserve"> </w:t>
      </w:r>
      <w:r>
        <w:rPr>
          <w:bCs/>
          <w:highlight w:val="lightGray"/>
        </w:rPr>
        <w:t xml:space="preserve">в течение </w:t>
      </w:r>
      <w:r>
        <w:rPr>
          <w:highlight w:val="lightGray"/>
        </w:rPr>
        <w:t>20 (двадцати) календарных дней</w:t>
      </w:r>
      <w:r>
        <w:rPr>
          <w:rStyle w:val="FootnoteReference"/>
          <w:highlight w:val="lightGray"/>
        </w:rPr>
        <w:footnoteReference w:id="9"/>
      </w:r>
      <w:r>
        <w:rPr>
          <w:highlight w:val="lightGray"/>
        </w:rPr>
        <w:t xml:space="preserve"> /  45 (сорока пяти) календарных дней</w:t>
      </w:r>
      <w:r>
        <w:rPr>
          <w:rStyle w:val="FootnoteReference"/>
          <w:highlight w:val="lightGray"/>
        </w:rPr>
        <w:footnoteReference w:id="10"/>
      </w:r>
      <w:r>
        <w:rPr>
          <w:highlight w:val="lightGray"/>
        </w:rPr>
        <w:t xml:space="preserve"> / 7 (семи) рабочих дней</w:t>
      </w:r>
      <w:r>
        <w:rPr>
          <w:rStyle w:val="FootnoteReference"/>
          <w:highlight w:val="lightGray"/>
        </w:rPr>
        <w:footnoteReference w:id="11"/>
      </w:r>
      <w:r>
        <w:rPr/>
        <w:t xml:space="preserve"> </w:t>
      </w:r>
      <w:r>
        <w:rPr>
          <w:bCs/>
        </w:rPr>
        <w:t xml:space="preserve">с даты подписания Сторонами документов, указанных в пункте 4.1 Договора, на основании счета, выставленного Подрядчиком, и с учетом пункта 3.5.3 Договора, </w:t>
      </w:r>
      <w:r>
        <w:rPr>
          <w:b/>
          <w:bCs/>
        </w:rPr>
        <w:t>но не ранее</w:t>
      </w:r>
      <w:r>
        <w:rPr>
          <w:bCs/>
        </w:rPr>
        <w:t xml:space="preserve"> </w:t>
      </w:r>
      <w:r>
        <w:rPr>
          <w:b/>
          <w:bCs/>
        </w:rPr>
        <w:t>включения локальных сметных расчетов на выполнение Работ с твердой ценой в Сводную смету с приложениями (Приложение № 3 к Договору) в соответствии с пунктом 3.2 Договора.</w:t>
      </w:r>
      <w:r>
        <w:rPr/>
        <w:t xml:space="preserve"> </w:t>
      </w:r>
    </w:p>
    <w:p>
      <w:pPr>
        <w:pStyle w:val="ListParagraph"/>
        <w:numPr>
          <w:ilvl w:val="2"/>
          <w:numId w:val="2"/>
        </w:numPr>
        <w:shd w:val="clear" w:color="auto" w:fill="FFFFFF"/>
        <w:tabs>
          <w:tab w:val="clear" w:pos="708"/>
          <w:tab w:val="left" w:pos="1418" w:leader="none"/>
        </w:tabs>
        <w:ind w:firstLine="709" w:left="0"/>
        <w:jc w:val="both"/>
        <w:rPr/>
      </w:pPr>
      <w:bookmarkStart w:id="13" w:name="_Ref361834178"/>
      <w:r>
        <w:rPr/>
        <w:t>В случае выставления Подрядчиком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 превышающую размер предусмотренного Договором платежа, такой счет к оплате Заказчиком не принимается и подлежит замене Подрядчиком не</w:t>
      </w:r>
      <w:r>
        <w:rPr>
          <w:shd w:fill="auto" w:val="clear"/>
        </w:rPr>
        <w:t>зависимо от его фактического вручения Заказчику. В случае выставления Подрядчиком счета позднее чем за</w:t>
      </w:r>
      <w:bookmarkEnd w:id="13"/>
      <w:r>
        <w:rPr>
          <w:shd w:fill="auto" w:val="clear"/>
        </w:rPr>
        <w:t xml:space="preserve">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Заказчиком.</w:t>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bCs/>
          <w:shd w:fill="auto" w:val="clear"/>
        </w:rPr>
        <w:t xml:space="preserve">Расчеты по Договору осуществляются в валюте Российской Федерации. Оплата производится Заказчиком путем перечисления денежных средств на расчетный счет Подрядчика, указанный в Договоре. Обязательство Заказчика по осуществлению платежа считается исполненным с даты списания денежных средств с расчетного </w:t>
      </w:r>
      <w:bookmarkStart w:id="14" w:name="_Ref361336647"/>
      <w:r>
        <w:rPr>
          <w:bCs/>
          <w:shd w:fill="auto" w:val="clear"/>
        </w:rPr>
        <w:t>счета Заказчика.</w:t>
      </w:r>
    </w:p>
    <w:p>
      <w:pPr>
        <w:pStyle w:val="ListParagraph"/>
        <w:numPr>
          <w:ilvl w:val="1"/>
          <w:numId w:val="2"/>
        </w:numPr>
        <w:shd w:val="clear" w:color="auto" w:fill="FFFFFF"/>
        <w:tabs>
          <w:tab w:val="clear" w:pos="708"/>
          <w:tab w:val="left" w:pos="1134" w:leader="none"/>
        </w:tabs>
        <w:ind w:firstLine="709" w:left="0"/>
        <w:jc w:val="both"/>
        <w:rPr>
          <w:bCs/>
        </w:rPr>
      </w:pPr>
      <w:bookmarkStart w:id="15" w:name="_Ref361834206"/>
      <w:bookmarkEnd w:id="14"/>
      <w:bookmarkEnd w:id="15"/>
      <w:r>
        <w:rPr>
          <w:bCs/>
        </w:rPr>
        <w:t xml:space="preserve">За исключением случая, указанного в пункте 2.3.15 Договора, любое превышение фактических объемов Работ над объемами Работ, предусмотренными Договором, к оплате Заказчиком не принимается и считается включенным в Цену Договора. </w:t>
      </w:r>
    </w:p>
    <w:p>
      <w:pPr>
        <w:pStyle w:val="ListParagraph"/>
        <w:numPr>
          <w:ilvl w:val="1"/>
          <w:numId w:val="2"/>
        </w:numPr>
        <w:shd w:val="clear" w:color="auto" w:fill="FFFFFF"/>
        <w:tabs>
          <w:tab w:val="clear" w:pos="708"/>
          <w:tab w:val="left" w:pos="1134" w:leader="none"/>
        </w:tabs>
        <w:ind w:firstLine="709" w:left="0"/>
        <w:jc w:val="both"/>
        <w:rPr>
          <w:bCs/>
        </w:rPr>
      </w:pPr>
      <w:r>
        <w:rPr/>
        <w:t xml:space="preserve"> </w:t>
      </w:r>
      <w:r>
        <w:rPr>
          <w:sz w:val="24"/>
          <w:szCs w:val="24"/>
          <w:highlight w:val="lightGray"/>
        </w:rPr>
        <w:t xml:space="preserve">Командировочные расходы включаются в стоимость Работ в соответствии с расчетом, прилагаемым к Сводной смете </w:t>
      </w:r>
      <w:r>
        <w:rPr>
          <w:bCs/>
          <w:sz w:val="24"/>
          <w:szCs w:val="24"/>
          <w:highlight w:val="lightGray"/>
        </w:rPr>
        <w:t>с приложениями</w:t>
      </w:r>
      <w:r>
        <w:rPr>
          <w:sz w:val="24"/>
          <w:szCs w:val="24"/>
          <w:highlight w:val="lightGray"/>
        </w:rPr>
        <w:t xml:space="preserve"> (Приложение № 3 к Договору). Размеры расходов, связанных со служебными командировками, определяются коллективным договором и / или локальным нормативным актом Подрядчика, но не выше нормативов возмещения расходов, связанных со служебными командировками, установленных локальным нормативным актом Заказчика, который предоставляется Подрядчику по запросу. Оплата командировочных расходов производится Заказчиком в порядке, установленном Договором для оплаты стоимости Работ. Подрядчик обязан представлять по запросу Заказчика копии следующих документов, заверенных Подрядчиком, в том числе: приказ о командировке, проездные билеты, счета на оплату за проживание в гостинице и авансовые отчеты</w:t>
      </w:r>
      <w:bookmarkStart w:id="16" w:name="_Ref361834251"/>
      <w:bookmarkEnd w:id="11"/>
      <w:r>
        <w:rPr>
          <w:sz w:val="24"/>
          <w:szCs w:val="24"/>
        </w:rPr>
        <w:t>.</w:t>
      </w:r>
      <w:bookmarkEnd w:id="16"/>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Индексация Цены Договора не допускается. </w:t>
      </w:r>
    </w:p>
    <w:p>
      <w:pPr>
        <w:pStyle w:val="ListParagraph"/>
        <w:numPr>
          <w:ilvl w:val="1"/>
          <w:numId w:val="2"/>
        </w:numPr>
        <w:shd w:val="clear" w:color="auto" w:fill="FFFFFF"/>
        <w:tabs>
          <w:tab w:val="clear" w:pos="708"/>
          <w:tab w:val="left" w:pos="1134" w:leader="none"/>
        </w:tabs>
        <w:ind w:firstLine="709" w:left="0"/>
        <w:jc w:val="both"/>
        <w:rPr>
          <w:bCs/>
        </w:rPr>
      </w:pPr>
      <w:r>
        <w:rPr>
          <w:bCs/>
        </w:rPr>
        <w:t>Заказчик вправе произвести сальдо взаимных обязательств сторон путем уменьшения сумм причитающихся Подрядчику платежей по Договору, а также по взаимосвязанным договорам (цепочке договоров), в рамках единого комплекса хозяйственных взаимоотношений сторон, направленных на исполнение Договора, на суммы задолженности Подрядчика перед Заказчиком, в том числе (включая, но не ограничиваясь), суммы неотработанного аванса по Договору, суммы неустоек (пени, штрафы) за неисполнение и / или ненадлежащее исполнение обязательств по Договору, стоимость работ по устранению недостатков выполненных Подрядчиком работ.</w:t>
      </w:r>
    </w:p>
    <w:p>
      <w:pPr>
        <w:pStyle w:val="ListParagraph"/>
        <w:shd w:val="clear" w:color="auto" w:fill="FFFFFF"/>
        <w:tabs>
          <w:tab w:val="clear" w:pos="708"/>
          <w:tab w:val="left" w:pos="1134" w:leader="none"/>
        </w:tabs>
        <w:ind w:firstLine="709" w:left="0"/>
        <w:jc w:val="both"/>
        <w:rPr>
          <w:highlight w:val="none"/>
          <w:shd w:fill="auto" w:val="clear"/>
        </w:rPr>
      </w:pPr>
      <w:r>
        <w:rPr>
          <w:bCs/>
          <w:shd w:fill="auto" w:val="clear"/>
        </w:rPr>
        <w:t>Заказчик направляет Подрядчику уведомление о проведении сальдо взаимных обязательств Сторон по Договору.</w:t>
      </w:r>
    </w:p>
    <w:p>
      <w:pPr>
        <w:pStyle w:val="ListParagraph"/>
        <w:shd w:val="clear" w:color="auto" w:fill="FFFFFF"/>
        <w:tabs>
          <w:tab w:val="clear" w:pos="708"/>
          <w:tab w:val="left" w:pos="1134" w:leader="none"/>
        </w:tabs>
        <w:ind w:firstLine="709" w:left="0"/>
        <w:jc w:val="both"/>
        <w:rPr>
          <w:bCs/>
        </w:rPr>
      </w:pPr>
      <w:r>
        <w:rPr>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Порядок сдачи-приемки Работ</w:t>
      </w:r>
    </w:p>
    <w:p>
      <w:pPr>
        <w:pStyle w:val="ListParagraph"/>
        <w:numPr>
          <w:ilvl w:val="1"/>
          <w:numId w:val="2"/>
        </w:numPr>
        <w:shd w:val="clear" w:color="auto" w:fill="FFFFFF"/>
        <w:tabs>
          <w:tab w:val="clear" w:pos="708"/>
          <w:tab w:val="left" w:pos="1134" w:leader="none"/>
        </w:tabs>
        <w:ind w:firstLine="709" w:left="0"/>
        <w:jc w:val="both"/>
        <w:rPr>
          <w:bCs/>
        </w:rPr>
      </w:pPr>
      <w:bookmarkStart w:id="17" w:name="_Ref361335138"/>
      <w:bookmarkStart w:id="18" w:name="_Ref361336754"/>
      <w:bookmarkStart w:id="19" w:name="_Ref373242517"/>
      <w:r>
        <w:rPr>
          <w:bCs/>
        </w:rPr>
        <w:t>По завершении выполнения Работ, Подрядчик представляет Заказчику подписанный со своей стороны в 2 (двух) экземплярах Акт сдачи-приемки выполненных работ по форме Приложения № 6 к Договору с приложением Результата Работ</w:t>
      </w:r>
      <w:r>
        <w:rPr/>
        <w:t>.</w:t>
      </w:r>
      <w:bookmarkEnd w:id="17"/>
      <w:bookmarkEnd w:id="18"/>
      <w:bookmarkEnd w:id="19"/>
      <w:r>
        <w:rPr/>
        <w:t xml:space="preserve"> </w:t>
      </w:r>
    </w:p>
    <w:p>
      <w:pPr>
        <w:pStyle w:val="ListParagraph"/>
        <w:shd w:val="clear" w:color="auto" w:fill="FFFFFF"/>
        <w:tabs>
          <w:tab w:val="clear" w:pos="708"/>
          <w:tab w:val="left" w:pos="1134" w:leader="none"/>
        </w:tabs>
        <w:ind w:firstLine="709" w:left="0"/>
        <w:jc w:val="both"/>
        <w:rPr>
          <w:bCs/>
        </w:rPr>
      </w:pPr>
      <w:r>
        <w:rPr>
          <w:bCs/>
        </w:rPr>
        <w:t>Требования к отчетным документам (состав, количество, формат, носитель и т.д.), подлежащим передаче Подрядчиком Заказчику в составе Результата Работ, устанавливаются Техническим заданием (Приложение № 1 к Договору).</w:t>
      </w:r>
    </w:p>
    <w:p>
      <w:pPr>
        <w:pStyle w:val="ListParagraph"/>
        <w:shd w:val="clear" w:color="auto" w:fill="FFFFFF"/>
        <w:tabs>
          <w:tab w:val="clear" w:pos="708"/>
          <w:tab w:val="left" w:pos="1134" w:leader="none"/>
        </w:tabs>
        <w:ind w:firstLine="709" w:left="0"/>
        <w:jc w:val="both"/>
        <w:rPr>
          <w:highlight w:val="none"/>
          <w:shd w:fill="FFFF00" w:val="clear"/>
        </w:rPr>
      </w:pPr>
      <w:r>
        <w:rPr>
          <w:rFonts w:ascii="Liberation Serif" w:hAnsi="Liberation Serif"/>
          <w:b w:val="false"/>
          <w:bCs w:val="false"/>
          <w:caps w:val="false"/>
          <w:smallCaps w:val="false"/>
          <w:sz w:val="24"/>
          <w:szCs w:val="24"/>
          <w:shd w:fill="FFFF00" w:val="clear"/>
          <w:lang w:eastAsia="en-US"/>
        </w:rPr>
        <w:t xml:space="preserve">При использовании Сторонами электронного документооборота, Стороны по договору вместо </w:t>
      </w:r>
      <w:r>
        <w:rPr>
          <w:rFonts w:ascii="Liberation Serif" w:hAnsi="Liberation Serif"/>
          <w:b w:val="false"/>
          <w:bCs/>
          <w:caps w:val="false"/>
          <w:smallCaps w:val="false"/>
          <w:sz w:val="24"/>
          <w:szCs w:val="24"/>
          <w:shd w:fill="FFFF00" w:val="clear"/>
          <w:lang w:eastAsia="en-US"/>
        </w:rPr>
        <w:t>Акта сдачи-приемки выполненных работ по форме Приложения № 6</w:t>
      </w:r>
      <w:r>
        <w:rPr>
          <w:rFonts w:ascii="Liberation Serif" w:hAnsi="Liberation Serif"/>
          <w:b w:val="false"/>
          <w:bCs w:val="false"/>
          <w:caps w:val="false"/>
          <w:smallCaps w:val="false"/>
          <w:sz w:val="24"/>
          <w:szCs w:val="24"/>
          <w:shd w:fill="FFFF00" w:val="clear"/>
          <w:lang w:eastAsia="en-US"/>
        </w:rPr>
        <w:t xml:space="preserve">  оформляют УПД</w:t>
      </w:r>
      <w:r>
        <w:rPr>
          <w:rStyle w:val="FootnoteReference"/>
          <w:rFonts w:ascii="Liberation Serif" w:hAnsi="Liberation Serif"/>
          <w:b w:val="false"/>
          <w:bCs w:val="false"/>
          <w:caps w:val="false"/>
          <w:smallCaps w:val="false"/>
          <w:sz w:val="24"/>
          <w:szCs w:val="24"/>
          <w:shd w:fill="FFFF00" w:val="clear"/>
          <w:lang w:eastAsia="en-US"/>
        </w:rPr>
        <w:footnoteReference w:id="12"/>
      </w:r>
      <w:r>
        <w:rPr>
          <w:rFonts w:ascii="Liberation Serif" w:hAnsi="Liberation Serif"/>
          <w:b w:val="false"/>
          <w:bCs w:val="false"/>
          <w:caps w:val="false"/>
          <w:smallCaps w:val="false"/>
          <w:sz w:val="24"/>
          <w:szCs w:val="24"/>
          <w:shd w:fill="FFFF00" w:val="clear"/>
          <w:lang w:eastAsia="en-US"/>
        </w:rPr>
        <w:t xml:space="preserve">. В этом случае условия Договора в отношении </w:t>
      </w:r>
      <w:r>
        <w:rPr>
          <w:rFonts w:ascii="Liberation Serif" w:hAnsi="Liberation Serif"/>
          <w:b w:val="false"/>
          <w:bCs/>
          <w:caps w:val="false"/>
          <w:smallCaps w:val="false"/>
          <w:sz w:val="24"/>
          <w:szCs w:val="24"/>
          <w:shd w:fill="FFFF00" w:val="clear"/>
          <w:lang w:eastAsia="en-US"/>
        </w:rPr>
        <w:t>Акта сдачи-приемки выполненных работ</w:t>
      </w:r>
      <w:r>
        <w:rPr>
          <w:rFonts w:ascii="Liberation Serif" w:hAnsi="Liberation Serif"/>
          <w:b w:val="false"/>
          <w:bCs w:val="false"/>
          <w:caps w:val="false"/>
          <w:smallCaps w:val="false"/>
          <w:sz w:val="24"/>
          <w:szCs w:val="24"/>
          <w:shd w:fill="FFFF00" w:val="clear"/>
          <w:lang w:eastAsia="en-US"/>
        </w:rPr>
        <w:t xml:space="preserve"> применяются в равной степени к УПД.</w:t>
      </w:r>
    </w:p>
    <w:p>
      <w:pPr>
        <w:pStyle w:val="ListParagraph"/>
        <w:numPr>
          <w:ilvl w:val="1"/>
          <w:numId w:val="2"/>
        </w:numPr>
        <w:shd w:val="clear" w:color="auto" w:fill="FFFFFF"/>
        <w:tabs>
          <w:tab w:val="clear" w:pos="708"/>
          <w:tab w:val="left" w:pos="568" w:leader="none"/>
          <w:tab w:val="left" w:pos="1134" w:leader="none"/>
        </w:tabs>
        <w:ind w:firstLine="709" w:left="0"/>
        <w:jc w:val="both"/>
        <w:rPr>
          <w:bCs/>
        </w:rPr>
      </w:pPr>
      <w:r>
        <w:rPr>
          <w:bCs/>
        </w:rPr>
        <w:t xml:space="preserve">В течение </w:t>
      </w:r>
      <w:r>
        <w:rPr>
          <w:bCs/>
          <w:highlight w:val="lightGray"/>
        </w:rPr>
        <w:t>15 (пятнадцати) рабочих</w:t>
      </w:r>
      <w:r>
        <w:rPr>
          <w:bCs/>
        </w:rPr>
        <w:t xml:space="preserve"> дней с даты получения полного комплекта документов, указанных в пункте 4.1 Договора, Заказчик подписывает и передает Подрядчику 1 (один) экземпляр Акта сдачи-приемки выполненных работ либо направляет Подрядчику письменный мотивированный отказ от приемки Работ (далее – «Ведомость замечаний»), в котором отражает недостатки и / или несоответствия Результата Работ, а также срок на их устранение.</w:t>
      </w:r>
      <w:r>
        <w:rPr/>
        <w:t xml:space="preserve"> </w:t>
      </w:r>
    </w:p>
    <w:p>
      <w:pPr>
        <w:pStyle w:val="ListParagraph"/>
        <w:numPr>
          <w:ilvl w:val="1"/>
          <w:numId w:val="2"/>
        </w:numPr>
        <w:shd w:val="clear" w:color="auto" w:fill="FFFFFF"/>
        <w:tabs>
          <w:tab w:val="clear" w:pos="708"/>
          <w:tab w:val="left" w:pos="568" w:leader="none"/>
          <w:tab w:val="left" w:pos="1134" w:leader="none"/>
        </w:tabs>
        <w:ind w:firstLine="709" w:left="0"/>
        <w:jc w:val="both"/>
        <w:rPr>
          <w:bCs/>
        </w:rPr>
      </w:pPr>
      <w:r>
        <w:rPr>
          <w:bCs/>
        </w:rPr>
        <w:t xml:space="preserve">Устранение указанных недостатков и / или несоответствий, выявленных Заказчиком, осуществляется Подрядчиком своими силами и за свой счет в срок, указанный в Ведомости замечаний. Указание Заказчиком срока новой приемки не влечет переноса установленного Договором срока выполнения Работ и не исключает ответственности Подрядчика за его нарушение. </w:t>
      </w:r>
    </w:p>
    <w:p>
      <w:pPr>
        <w:pStyle w:val="ListParagraph"/>
        <w:numPr>
          <w:ilvl w:val="1"/>
          <w:numId w:val="2"/>
        </w:numPr>
        <w:shd w:val="clear" w:color="auto" w:fill="FFFFFF"/>
        <w:tabs>
          <w:tab w:val="clear" w:pos="708"/>
          <w:tab w:val="left" w:pos="1134" w:leader="none"/>
        </w:tabs>
        <w:ind w:firstLine="709" w:left="0"/>
        <w:jc w:val="both"/>
        <w:rPr>
          <w:bCs/>
        </w:rPr>
      </w:pPr>
      <w:r>
        <w:rPr>
          <w:bCs/>
        </w:rPr>
        <w:t>Повторная приемка Заказчиком выполненных Работ после устранения недостатков, указанных в Ведомости замечаний, осуществляется в порядке, предусмотренном пунктами 4.1 - 4.2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Если Подрядчик не устранит недостатки, несоответствия Работ в срок, установленный Заказчиком в соответствии с пунктом 4.3 Договора, Заказчик вправе собственными силами и (или) силами третьих лиц выполнить работы по устранению недостатков, выявленных в ходе приемки результатов Работ, с отнесением на Подрядчика соответствующих расходов. Подрядчик обязан возместить указанные расходы в течение 10 (десяти) рабочих дней с даты получения соответствующего письменного требования Заказчика. </w:t>
      </w:r>
    </w:p>
    <w:p>
      <w:pPr>
        <w:pStyle w:val="ListParagraph"/>
        <w:numPr>
          <w:ilvl w:val="1"/>
          <w:numId w:val="2"/>
        </w:numPr>
        <w:shd w:val="clear" w:color="auto" w:fill="FFFFFF"/>
        <w:tabs>
          <w:tab w:val="clear" w:pos="708"/>
          <w:tab w:val="left" w:pos="1134" w:leader="none"/>
        </w:tabs>
        <w:ind w:firstLine="709" w:left="0"/>
        <w:jc w:val="both"/>
        <w:rPr>
          <w:bCs/>
        </w:rPr>
      </w:pPr>
      <w:r>
        <w:rPr>
          <w:bCs/>
        </w:rPr>
        <w:t>Досрочное исполнение Подрядчиком обязательств по Договору возможно только при условии предварительного письменного согласия Заказчика.</w:t>
      </w:r>
    </w:p>
    <w:p>
      <w:pPr>
        <w:pStyle w:val="ListParagraph"/>
        <w:numPr>
          <w:ilvl w:val="1"/>
          <w:numId w:val="2"/>
        </w:numPr>
        <w:shd w:val="clear" w:color="auto" w:fill="FFFFFF"/>
        <w:tabs>
          <w:tab w:val="clear" w:pos="708"/>
          <w:tab w:val="left" w:pos="1134" w:leader="none"/>
        </w:tabs>
        <w:ind w:firstLine="709" w:left="0"/>
        <w:jc w:val="both"/>
        <w:rPr>
          <w:bCs/>
        </w:rPr>
      </w:pPr>
      <w:bookmarkStart w:id="20" w:name="_Ref361337635"/>
      <w:bookmarkEnd w:id="20"/>
      <w:r>
        <w:rPr>
          <w:bCs/>
        </w:rPr>
        <w:t>Подрядчик обязан представить Заказчику счета-фактуры (УПД), выставленные в сроки и оформленные в порядке, установленном законодательством Российской Федерации. В случае нарушения Подрядчиком указанной обязанности он обязан произвести замену счета-фактуры (УПД) в течение 3 (трех) рабочих дней с даты получения соответствующего письменного требования Заказчика. В случае непредставления Подрядчиком в течение 5 (пяти) календарных дней с даты получения авансового платежа счета-фактуры (УПД), подтверждающего право Заказчика на вычет НДС, уплаченного дополнительно к такому авансу, Подрядчик обязан в тот же срок возвратить Заказчику разницу между суммой, фактически перечисленной Заказчиком, и суммой соответствующего авансового платежа без учета НДС.</w:t>
      </w:r>
    </w:p>
    <w:p>
      <w:pPr>
        <w:pStyle w:val="ListParagraph"/>
        <w:shd w:val="clear" w:color="auto" w:fill="FFFFFF"/>
        <w:tabs>
          <w:tab w:val="clear" w:pos="708"/>
          <w:tab w:val="left" w:pos="1134" w:leader="none"/>
        </w:tabs>
        <w:ind w:firstLine="709" w:left="567"/>
        <w:jc w:val="both"/>
        <w:rPr>
          <w:bCs/>
        </w:rPr>
      </w:pPr>
      <w:r>
        <w:rPr>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Право собственности и переход рисков</w:t>
      </w:r>
    </w:p>
    <w:p>
      <w:pPr>
        <w:pStyle w:val="ListParagraph"/>
        <w:numPr>
          <w:ilvl w:val="1"/>
          <w:numId w:val="2"/>
        </w:numPr>
        <w:shd w:val="clear" w:color="auto" w:fill="FFFFFF"/>
        <w:tabs>
          <w:tab w:val="clear" w:pos="708"/>
          <w:tab w:val="left" w:pos="1134" w:leader="none"/>
        </w:tabs>
        <w:ind w:firstLine="709" w:left="0"/>
        <w:jc w:val="both"/>
        <w:rPr>
          <w:bCs/>
        </w:rPr>
      </w:pPr>
      <w:bookmarkStart w:id="21" w:name="_Ref361405028"/>
      <w:bookmarkEnd w:id="21"/>
      <w:r>
        <w:rPr>
          <w:bCs/>
        </w:rPr>
        <w:t>Право собственности, риск случайной гибели или повреждения Результата Работ переходит к Заказчику с момента подписания Сторонами Акта сдачи-приемки выполненных Работ по форме Приложения № 6 к Договору.</w:t>
      </w:r>
    </w:p>
    <w:p>
      <w:pPr>
        <w:pStyle w:val="ListParagraph"/>
        <w:shd w:val="clear" w:color="auto" w:fill="FFFFFF"/>
        <w:tabs>
          <w:tab w:val="clear" w:pos="708"/>
          <w:tab w:val="left" w:pos="0" w:leader="none"/>
          <w:tab w:val="left" w:pos="1134" w:leader="none"/>
        </w:tabs>
        <w:ind w:firstLine="709" w:left="0"/>
        <w:jc w:val="both"/>
        <w:rPr>
          <w:bCs/>
        </w:rPr>
      </w:pPr>
      <w:r>
        <w:rPr>
          <w:bCs/>
        </w:rPr>
      </w:r>
    </w:p>
    <w:p>
      <w:pPr>
        <w:pStyle w:val="ListParagraph"/>
        <w:numPr>
          <w:ilvl w:val="0"/>
          <w:numId w:val="2"/>
        </w:numPr>
        <w:shd w:val="clear" w:color="auto" w:fill="FFFFFF"/>
        <w:tabs>
          <w:tab w:val="clear" w:pos="708"/>
          <w:tab w:val="left" w:pos="284" w:leader="none"/>
        </w:tabs>
        <w:ind w:hanging="0" w:left="0"/>
        <w:jc w:val="center"/>
        <w:rPr>
          <w:b/>
          <w:bCs/>
        </w:rPr>
      </w:pPr>
      <w:r>
        <w:rPr>
          <w:b/>
          <w:bCs/>
        </w:rPr>
        <w:t>Ответственность Сторон</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За неисполнение или ненадлежащее исполнение принятых обязательств по Договору Стороны несут ответственность в соответствии с законодательством Российской Федерации и Договором. Меры ответственности, предусмотренные Договором, 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pPr>
        <w:pStyle w:val="Normal"/>
        <w:numPr>
          <w:ilvl w:val="1"/>
          <w:numId w:val="2"/>
        </w:numPr>
        <w:tabs>
          <w:tab w:val="clear" w:pos="708"/>
          <w:tab w:val="left" w:pos="1134" w:leader="none"/>
        </w:tabs>
        <w:spacing w:lineRule="auto" w:line="240"/>
        <w:ind w:firstLine="709" w:left="0"/>
        <w:rPr>
          <w:bCs/>
          <w:sz w:val="24"/>
          <w:szCs w:val="24"/>
        </w:rPr>
      </w:pPr>
      <w:r>
        <w:rPr>
          <w:bCs/>
          <w:sz w:val="24"/>
          <w:szCs w:val="24"/>
          <w:shd w:fill="auto" w:val="clear"/>
        </w:rPr>
        <w:t>Заказчик не несет ответственность за ненадлежащее исполнение обязательств по внесению предварительной оплаты (аванса).  В случае на</w:t>
      </w:r>
      <w:r>
        <w:rPr>
          <w:bCs/>
          <w:sz w:val="24"/>
          <w:szCs w:val="24"/>
        </w:rPr>
        <w:t>рушения Заказчиком сроков оплаты авансовых платежей Подрядчик имеет право приостановить выполнение Работ по Договору при условии предварительного письменного уведомления Заказчика о таком приостановлении.</w:t>
      </w:r>
    </w:p>
    <w:p>
      <w:pPr>
        <w:pStyle w:val="Normal"/>
        <w:numPr>
          <w:ilvl w:val="1"/>
          <w:numId w:val="2"/>
        </w:numPr>
        <w:tabs>
          <w:tab w:val="clear" w:pos="708"/>
          <w:tab w:val="left" w:pos="1134" w:leader="none"/>
        </w:tabs>
        <w:spacing w:lineRule="auto" w:line="240"/>
        <w:ind w:firstLine="709" w:left="0"/>
        <w:rPr>
          <w:highlight w:val="none"/>
          <w:shd w:fill="auto" w:val="clear"/>
        </w:rPr>
      </w:pPr>
      <w:r>
        <w:rPr>
          <w:bCs/>
          <w:sz w:val="24"/>
          <w:szCs w:val="24"/>
          <w:shd w:fill="auto" w:val="clear"/>
        </w:rPr>
        <w:t xml:space="preserve">В случае нарушения Заказчиком сроков оплаты, установленных разделом 3 Договора (за исключением срока оплаты авансовых платежей), Подрядчик вправе </w:t>
      </w:r>
      <w:r>
        <w:rPr>
          <w:sz w:val="24"/>
          <w:szCs w:val="24"/>
          <w:shd w:fill="auto" w:val="clear"/>
        </w:rPr>
        <w:t xml:space="preserve">потребовать уплаты Заказчиком исключительной неустойки в размере 0,01 (ноль целых и одна сотая) процента от несвоевременно оплаченной суммы за каждый день просрочки, </w:t>
      </w:r>
      <w:r>
        <w:rPr>
          <w:rFonts w:eastAsia="Times New Roman" w:ascii="Liberation Serif" w:hAnsi="Liberation Serif"/>
          <w:sz w:val="24"/>
          <w:szCs w:val="24"/>
          <w:shd w:fill="auto" w:val="clear"/>
        </w:rPr>
        <w:t>но не более 5 % от Цены Договора</w:t>
      </w:r>
      <w:r>
        <w:rPr>
          <w:sz w:val="24"/>
          <w:szCs w:val="24"/>
          <w:shd w:fill="auto" w:val="clear"/>
        </w:rPr>
        <w:t>.</w:t>
      </w:r>
      <w:r>
        <w:rPr>
          <w:bCs/>
          <w:sz w:val="24"/>
          <w:szCs w:val="24"/>
          <w:shd w:fill="auto" w:val="clear"/>
        </w:rPr>
        <w:t xml:space="preserve"> </w:t>
      </w:r>
    </w:p>
    <w:p>
      <w:pPr>
        <w:pStyle w:val="Normal"/>
        <w:numPr>
          <w:ilvl w:val="1"/>
          <w:numId w:val="2"/>
        </w:numPr>
        <w:tabs>
          <w:tab w:val="clear" w:pos="708"/>
          <w:tab w:val="left" w:pos="1134" w:leader="none"/>
        </w:tabs>
        <w:spacing w:lineRule="auto" w:line="240"/>
        <w:ind w:firstLine="709" w:left="0"/>
        <w:rPr>
          <w:bCs/>
          <w:sz w:val="24"/>
          <w:szCs w:val="24"/>
        </w:rPr>
      </w:pPr>
      <w:r>
        <w:rPr>
          <w:bCs/>
          <w:sz w:val="24"/>
          <w:szCs w:val="24"/>
          <w:shd w:fill="auto" w:val="clear"/>
        </w:rPr>
        <w:t>В случае нарушения Подрядчиком обязательств по выполнению Работ, в том числе сроков выполнения Работ, а также в случае несвоеврем</w:t>
      </w:r>
      <w:r>
        <w:rPr>
          <w:bCs/>
          <w:sz w:val="24"/>
          <w:szCs w:val="24"/>
        </w:rPr>
        <w:t>енного устранения выявленных недостатков Результата работ, Заказчик вправе потребовать уплаты Подрядчиком неустойки в размере 0,1 (ноль целых и одна десятая) процента от Цены Договора за каждый день просрочки.</w:t>
      </w:r>
    </w:p>
    <w:p>
      <w:pPr>
        <w:pStyle w:val="Normal"/>
        <w:widowControl w:val="false"/>
        <w:numPr>
          <w:ilvl w:val="1"/>
          <w:numId w:val="2"/>
        </w:numPr>
        <w:shd w:val="clear" w:color="auto" w:fill="FFFFFF"/>
        <w:tabs>
          <w:tab w:val="clear" w:pos="708"/>
          <w:tab w:val="left" w:pos="1134" w:leader="none"/>
        </w:tabs>
        <w:spacing w:lineRule="auto" w:line="240"/>
        <w:ind w:firstLine="709" w:left="0"/>
        <w:rPr>
          <w:sz w:val="24"/>
          <w:szCs w:val="24"/>
        </w:rPr>
      </w:pPr>
      <w:r>
        <w:rPr>
          <w:sz w:val="24"/>
          <w:szCs w:val="24"/>
        </w:rPr>
        <w:t xml:space="preserve">В случае несвоевременного возврата аванса </w:t>
      </w:r>
      <w:r>
        <w:rPr>
          <w:bCs/>
          <w:sz w:val="24"/>
          <w:szCs w:val="24"/>
        </w:rPr>
        <w:t xml:space="preserve">Заказчик вправе требовать уплаты Подрядчиком неустойки в размере </w:t>
      </w:r>
      <w:r>
        <w:rPr>
          <w:sz w:val="24"/>
          <w:szCs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случае нарушения Подрядчиком или привлеченными им Субподрядчиками требований пропускного и внутриобъектового режима, требований охраны труда, пожарной и промышленной безопасности, если они зафиксированы Заказчиком или уполномоченным государственным органом, Заказчик, помимо возмещения убытков, вправе требовать уплаты Подрядчиком штрафа в размерах, установленных Приложением № 5 к Договору. </w:t>
      </w:r>
    </w:p>
    <w:p>
      <w:pPr>
        <w:pStyle w:val="ListParagraph"/>
        <w:numPr>
          <w:ilvl w:val="1"/>
          <w:numId w:val="2"/>
        </w:numPr>
        <w:shd w:val="clear" w:color="auto" w:fill="FFFFFF"/>
        <w:tabs>
          <w:tab w:val="clear" w:pos="708"/>
          <w:tab w:val="left" w:pos="1134" w:leader="none"/>
        </w:tabs>
        <w:ind w:firstLine="709" w:left="0"/>
        <w:jc w:val="both"/>
        <w:rPr>
          <w:bCs/>
        </w:rPr>
      </w:pPr>
      <w:r>
        <w:rPr>
          <w:bCs/>
        </w:rPr>
        <w:t>Если в результате составления и выставления Подрядчиком счетов-фактур (УПД) с нарушением порядка и требований, установленных законодательством Российской Федерации, Заказчик понес расходы, связанные с начислением налоговыми органами по такому основанию сумм налога на добавленную стоимость, пеней и налоговых санкций, Подрядчик обязан компенсировать Заказчику сумму таких расходов. Основанием для компенсации являются решения налоговых органов, вынесенные по итогам проведения мероприятий налогового контроля. Сумма расходов компенсируется Подрядчиком в течение 10 (десяти) рабочих дней с даты получения соответствующего письменного требования Заказчика. В случае нарушения Подрядчиком сроков предоставления счетов-фактур (УПД), установленных пунктом 4.8 Договора, Заказчик имеет право требования от Подрядчика уплаты штрафа в размере 50 000 (пятидесяти тысяч) рублей за каждый случай нарушения.</w:t>
      </w:r>
    </w:p>
    <w:p>
      <w:pPr>
        <w:pStyle w:val="ListParagraph"/>
        <w:numPr>
          <w:ilvl w:val="1"/>
          <w:numId w:val="2"/>
        </w:numPr>
        <w:shd w:val="clear" w:color="auto" w:fill="FFFFFF"/>
        <w:tabs>
          <w:tab w:val="clear" w:pos="708"/>
          <w:tab w:val="left" w:pos="1134" w:leader="none"/>
        </w:tabs>
        <w:ind w:firstLine="709" w:left="0"/>
        <w:jc w:val="both"/>
        <w:rPr>
          <w:bCs/>
        </w:rPr>
      </w:pPr>
      <w:r>
        <w:rPr>
          <w:bCs/>
        </w:rPr>
        <w:t>Подрядчик несет ответственность перед Заказчиком за причиненный ущерб в размере фактически понесенных и документально подтвержденных расходов, возникших в связи с неисполнением (ненадлежащим исполнением) Подрядчиком своих обязательств, произведенных для восстановления нарушенного права, а также</w:t>
      </w:r>
      <w:r>
        <w:rPr>
          <w:bCs/>
          <w:shd w:fill="auto" w:val="clear"/>
        </w:rPr>
        <w:t xml:space="preserve"> упущенной выгоды.</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pPr>
        <w:pStyle w:val="ListParagraph"/>
        <w:numPr>
          <w:ilvl w:val="1"/>
          <w:numId w:val="2"/>
        </w:numPr>
        <w:shd w:val="clear" w:color="auto" w:fill="FFFFFF"/>
        <w:tabs>
          <w:tab w:val="clear" w:pos="708"/>
          <w:tab w:val="left" w:pos="1134" w:leader="none"/>
        </w:tabs>
        <w:ind w:firstLine="709" w:left="0"/>
        <w:jc w:val="both"/>
        <w:rPr>
          <w:bCs/>
        </w:rPr>
      </w:pPr>
      <w:r>
        <w:rPr>
          <w:bCs/>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pPr>
        <w:pStyle w:val="ListParagraph"/>
        <w:numPr>
          <w:ilvl w:val="1"/>
          <w:numId w:val="2"/>
        </w:numPr>
        <w:shd w:val="clear" w:color="auto" w:fill="FFFFFF"/>
        <w:tabs>
          <w:tab w:val="clear" w:pos="708"/>
          <w:tab w:val="left" w:pos="1134" w:leader="none"/>
        </w:tabs>
        <w:ind w:firstLine="709" w:left="0"/>
        <w:jc w:val="both"/>
        <w:rPr>
          <w:bCs/>
        </w:rPr>
      </w:pPr>
      <w:r>
        <w:rPr>
          <w:bCs/>
        </w:rPr>
        <w:t>Учитывая, что для Заказчика надлежащее и своевременное выполнение Подрядчиком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Подрядчиком соответствующих обязательств по Договору.</w:t>
      </w:r>
    </w:p>
    <w:p>
      <w:pPr>
        <w:pStyle w:val="ListParagraph"/>
        <w:widowControl w:val="false"/>
        <w:numPr>
          <w:ilvl w:val="1"/>
          <w:numId w:val="2"/>
        </w:numPr>
        <w:shd w:val="clear" w:color="auto" w:fill="FFFFFF"/>
        <w:tabs>
          <w:tab w:val="clear" w:pos="708"/>
          <w:tab w:val="left" w:pos="0" w:leader="none"/>
          <w:tab w:val="left" w:pos="1134" w:leader="none"/>
        </w:tabs>
        <w:ind w:firstLine="567" w:left="0"/>
        <w:jc w:val="both"/>
        <w:rPr/>
      </w:pPr>
      <w:r>
        <w:rPr/>
        <w:t>Удержание пени, штрафов и денежных средств, подлежащих уплате Подрядчиком по Договору, может быть произведено, по усмотрению Заказчика, путем вычета указанных суммы из стоимости выполненных Подрядчиком и принятых Заказчиком работ. Уплата (удержание) неустойки не освобождает стороны от исполнения своего обязательства в натуре.</w:t>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rFonts w:eastAsia="Times New Roman"/>
          <w:b w:val="false"/>
          <w:bCs w:val="false"/>
          <w:i w:val="false"/>
          <w:iCs w:val="false"/>
          <w:caps w:val="false"/>
          <w:smallCaps w:val="false"/>
          <w:color w:val="000000"/>
          <w:sz w:val="24"/>
          <w:szCs w:val="24"/>
          <w:shd w:fill="auto" w:val="clear"/>
        </w:rPr>
        <w:t>В случае нарушения Подрядчиком требований Технического задания (Приложение №1) о наличии у него необходимых для выполнения работ кадровых ресурсов (персонала), техники и материально-технических ресурсов, а также в случае предоставления Подрядчиком недостоверных сведений или неполной информации о наличии у него необходимых для выполнения работ персонала, техники и материально-технических ресурсов, либо отказа в предоставлении указанной информации полностью или частично, Заказчик вправе потребовать уплаты Подрядчиком штрафа в размере 5% (пяти процентов) от Цены Договора за каждый случай нарушения.</w:t>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rFonts w:eastAsia="Times New Roman"/>
          <w:sz w:val="24"/>
          <w:szCs w:val="24"/>
          <w:shd w:fill="auto" w:val="clear"/>
        </w:rPr>
        <w:t>В случае не вывоза (неполного вывоза) на момент сдачи результата работ Подрядчиком отходов и/или мусора, оставшихся после окончания работ на территории проведения работ, Заказчик имеет право начислить и взыскать с Подрядчика штраф в двукратном размере от стоимости вывоза мусора.</w:t>
      </w:r>
    </w:p>
    <w:p>
      <w:pPr>
        <w:pStyle w:val="ListParagraph"/>
        <w:numPr>
          <w:ilvl w:val="1"/>
          <w:numId w:val="2"/>
        </w:numPr>
        <w:shd w:val="clear" w:color="auto" w:fill="FFFFFF"/>
        <w:tabs>
          <w:tab w:val="clear" w:pos="708"/>
          <w:tab w:val="left" w:pos="1134" w:leader="none"/>
        </w:tabs>
        <w:ind w:firstLine="709" w:left="0"/>
        <w:jc w:val="both"/>
        <w:rPr>
          <w:highlight w:val="none"/>
          <w:shd w:fill="auto" w:val="clear"/>
        </w:rPr>
      </w:pPr>
      <w:r>
        <w:rPr>
          <w:rFonts w:eastAsia="Times New Roman"/>
          <w:bCs/>
          <w:iCs w:val="false"/>
          <w:caps w:val="false"/>
          <w:smallCaps w:val="false"/>
          <w:sz w:val="24"/>
          <w:szCs w:val="24"/>
          <w:shd w:fill="auto" w:val="clear"/>
        </w:rPr>
        <w:t>Наряду с неустойкой за неисполнение или ненадлежащее исполнение обязательств Подрядчиком, предусмотренных Договором, и независимо от такой неустойки, Заказчик вправе взыскать с Подрядчика проценты за пользование чужими денежными средствами на основании ст. 395 Гражданского кодекса РФ за соответствующие неисполнение или ненадлежащее исполнение обязательств Подрядчика. Допускается начисление Заказчиком процентов на проценты (сложные проценты).</w:t>
      </w:r>
    </w:p>
    <w:p>
      <w:pPr>
        <w:pStyle w:val="ListParagraph"/>
        <w:numPr>
          <w:ilvl w:val="0"/>
          <w:numId w:val="0"/>
        </w:numPr>
        <w:shd w:val="clear" w:color="auto" w:fill="FFFFFF"/>
        <w:tabs>
          <w:tab w:val="clear" w:pos="708"/>
          <w:tab w:val="left" w:pos="1134" w:leader="none"/>
        </w:tabs>
        <w:ind w:hanging="0" w:left="0"/>
        <w:jc w:val="both"/>
        <w:rPr>
          <w:rFonts w:ascii="Times New Roman" w:hAnsi="Times New Roman" w:eastAsia="Times New Roman"/>
          <w:b w:val="false"/>
          <w:bCs/>
          <w:i w:val="false"/>
          <w:i w:val="false"/>
          <w:iCs w:val="false"/>
          <w:caps w:val="false"/>
          <w:smallCaps w:val="false"/>
          <w:sz w:val="24"/>
          <w:szCs w:val="24"/>
          <w:highlight w:val="none"/>
          <w:shd w:fill="auto" w:val="clear"/>
        </w:rPr>
      </w:pPr>
      <w:r>
        <w:rPr>
          <w:rFonts w:eastAsia="Times New Roman"/>
          <w:b w:val="false"/>
          <w:bCs/>
          <w:i w:val="false"/>
          <w:iCs w:val="false"/>
          <w:caps w:val="false"/>
          <w:smallCaps w:val="false"/>
          <w:sz w:val="24"/>
          <w:szCs w:val="24"/>
          <w:shd w:fill="auto" w:val="clear"/>
        </w:rPr>
      </w:r>
    </w:p>
    <w:p>
      <w:pPr>
        <w:pStyle w:val="ListParagraph"/>
        <w:numPr>
          <w:ilvl w:val="0"/>
          <w:numId w:val="2"/>
        </w:numPr>
        <w:shd w:val="clear" w:color="auto" w:fill="FFFFFF"/>
        <w:tabs>
          <w:tab w:val="clear" w:pos="708"/>
          <w:tab w:val="left" w:pos="284" w:leader="none"/>
          <w:tab w:val="left" w:pos="426" w:leader="none"/>
        </w:tabs>
        <w:ind w:hanging="0" w:left="0"/>
        <w:jc w:val="center"/>
        <w:rPr>
          <w:highlight w:val="none"/>
          <w:shd w:fill="auto" w:val="clear"/>
        </w:rPr>
      </w:pPr>
      <w:r>
        <w:rPr>
          <w:b/>
          <w:bCs/>
          <w:shd w:fill="auto" w:val="clear"/>
        </w:rPr>
        <w:t>Исключительные права и патенты</w:t>
      </w:r>
    </w:p>
    <w:p>
      <w:pPr>
        <w:pStyle w:val="ListParagraph"/>
        <w:numPr>
          <w:ilvl w:val="1"/>
          <w:numId w:val="2"/>
        </w:numPr>
        <w:shd w:val="clear" w:color="auto" w:fill="FFFFFF"/>
        <w:tabs>
          <w:tab w:val="clear" w:pos="708"/>
          <w:tab w:val="left" w:pos="1134" w:leader="none"/>
        </w:tabs>
        <w:ind w:firstLine="709" w:left="0"/>
        <w:jc w:val="both"/>
        <w:rPr>
          <w:bCs/>
        </w:rPr>
      </w:pPr>
      <w:r>
        <w:rPr>
          <w:bCs/>
          <w:shd w:fill="auto" w:val="clear"/>
        </w:rPr>
        <w:t>Подрядчик гарантирует, что выполнение Работ, предусмо</w:t>
      </w:r>
      <w:r>
        <w:rPr>
          <w:bCs/>
        </w:rPr>
        <w:t>тренных Договором, а также передача Заказчику Результата работ не нарушит исключительных и иных интеллектуальных прав третьих лиц</w:t>
      </w:r>
      <w:r>
        <w:rPr/>
        <w:t xml:space="preserve"> </w:t>
      </w:r>
      <w:r>
        <w:rPr>
          <w:bCs/>
        </w:rPr>
        <w:t>на результаты интеллектуальной деятельности или средства индивидуализации, которым предоставляется правовая охрана, в том числе авторских и смежных с ними прав, патентных прав, прав на секрет производства.</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Подрядчик вправе использовать при выполнении Работ результаты интеллектуальной деятельности, принадлежащие третьим лицам, только если он получил на это соответствующие разрешения (лицензии) этих лиц. </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В состав Результата работ считаются включенными все разрешения (лицензии), необходимые для использования Заказчиком Результата работ. </w:t>
      </w:r>
    </w:p>
    <w:p>
      <w:pPr>
        <w:pStyle w:val="ListParagraph"/>
        <w:numPr>
          <w:ilvl w:val="1"/>
          <w:numId w:val="2"/>
        </w:numPr>
        <w:shd w:val="clear" w:color="auto" w:fill="FFFFFF"/>
        <w:tabs>
          <w:tab w:val="clear" w:pos="708"/>
          <w:tab w:val="left" w:pos="1134" w:leader="none"/>
        </w:tabs>
        <w:ind w:firstLine="709" w:left="0"/>
        <w:jc w:val="both"/>
        <w:rPr>
          <w:bCs/>
        </w:rPr>
      </w:pPr>
      <w:r>
        <w:rPr>
          <w:bCs/>
        </w:rPr>
        <w:t>В случае, если Заказчику будут предъявлены требования, связанные с нарушением Подрядчиком при выполнении Работ по Договору исключительных и / или иных интеллектуальных прав третьих лиц, Подрядчик обязан полностью возместить Заказчику все расходы и убытки, связанные с такими требованиями, включая расходы на юридических консультантов.</w:t>
      </w:r>
    </w:p>
    <w:p>
      <w:pPr>
        <w:pStyle w:val="ListParagraph"/>
        <w:numPr>
          <w:ilvl w:val="1"/>
          <w:numId w:val="2"/>
        </w:numPr>
        <w:shd w:val="clear" w:color="auto" w:fill="FFFFFF"/>
        <w:tabs>
          <w:tab w:val="clear" w:pos="708"/>
          <w:tab w:val="left" w:pos="1134" w:leader="none"/>
        </w:tabs>
        <w:ind w:firstLine="709" w:left="0"/>
        <w:jc w:val="both"/>
        <w:rPr>
          <w:bCs/>
        </w:rPr>
      </w:pPr>
      <w:r>
        <w:rPr>
          <w:bCs/>
        </w:rPr>
        <w:t>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возникают непосредственно у Заказчика, либо, если в соответствии с законодательством Российской Федерации такие исключительные права возникают у Подрядчика, эти права переходят к Заказчику сразу после их возникновения в силу Договора.</w:t>
      </w:r>
    </w:p>
    <w:p>
      <w:pPr>
        <w:pStyle w:val="ListParagraph"/>
        <w:shd w:val="clear" w:color="auto" w:fill="FFFFFF"/>
        <w:tabs>
          <w:tab w:val="clear" w:pos="708"/>
          <w:tab w:val="left" w:pos="1134" w:leader="none"/>
        </w:tabs>
        <w:ind w:firstLine="709" w:left="0"/>
        <w:jc w:val="both"/>
        <w:rPr>
          <w:bCs/>
        </w:rPr>
      </w:pPr>
      <w:r>
        <w:rPr>
          <w:bCs/>
        </w:rPr>
        <w:t>В случае, если в соответствии с законодательством Российской Федерации исключительные права на результаты интеллектуальной деятельности, создаваемые в процессе исполнения Подрядчиком Договора, не могут переходить к Заказчику в порядке, указанном в настоящем пункте Договора, Стороны пришли к соглашению о том, что Подрядчик передаст Заказчику неисключительные права (неисключительную лицензию) на право использования такого результата</w:t>
      </w:r>
      <w:r>
        <w:rPr/>
        <w:t xml:space="preserve"> </w:t>
      </w:r>
      <w:r>
        <w:rPr>
          <w:bCs/>
        </w:rPr>
        <w:t xml:space="preserve">интеллектуальной деятельности на срок и в том объеме (пределах), которые требуются для эксплуатации. При этом Стороны признают, что плата за использование прав на результаты интеллектуальной деятельности входит в Цену Договора. </w:t>
      </w:r>
    </w:p>
    <w:p>
      <w:pPr>
        <w:pStyle w:val="ListParagraph"/>
        <w:numPr>
          <w:ilvl w:val="1"/>
          <w:numId w:val="2"/>
        </w:numPr>
        <w:shd w:val="clear" w:color="auto" w:fill="FFFFFF"/>
        <w:tabs>
          <w:tab w:val="clear" w:pos="708"/>
          <w:tab w:val="left" w:pos="1134" w:leader="none"/>
        </w:tabs>
        <w:ind w:firstLine="709" w:left="0"/>
        <w:jc w:val="both"/>
        <w:rPr>
          <w:bCs/>
        </w:rPr>
      </w:pPr>
      <w:r>
        <w:rPr>
          <w:bCs/>
        </w:rPr>
        <w:t>В случае появления в рамках исполнения Договора или в составе Результата работ патентоспособного результата интеллектуальной деятельности, Подрядчик не позднее 10 (десяти) календарных дней обязуется письменно сообщить об этом Заказчику и в разумный срок заключить дополнительное соглашение к Договору о порядке регистрации прав Заказчика на такой результат интеллектуальной деятельности, без уплаты Заказчиком какого-либо дополнительного вознаграждения.</w:t>
      </w:r>
    </w:p>
    <w:p>
      <w:pPr>
        <w:pStyle w:val="ListParagraph"/>
        <w:numPr>
          <w:ilvl w:val="1"/>
          <w:numId w:val="2"/>
        </w:numPr>
        <w:shd w:val="clear" w:color="auto" w:fill="FFFFFF"/>
        <w:tabs>
          <w:tab w:val="clear" w:pos="708"/>
          <w:tab w:val="left" w:pos="1134" w:leader="none"/>
        </w:tabs>
        <w:ind w:firstLine="709" w:left="0"/>
        <w:jc w:val="both"/>
        <w:rPr>
          <w:bCs/>
        </w:rPr>
      </w:pPr>
      <w:r>
        <w:rPr>
          <w:bCs/>
        </w:rPr>
        <w:t>Переход прав на исключительные права (за исключением личных неимущественных прав автора) на произведения, программы для ЭВМ, изобретения и иные результаты интеллектуальной деятельности, создаваемые в процессе исполнения Подрядчиком Договора, подтверждается подписанием Сторонами Акта сдачи-приемки выполненных работ.</w:t>
      </w:r>
    </w:p>
    <w:p>
      <w:pPr>
        <w:pStyle w:val="ListParagraph"/>
        <w:shd w:val="clear" w:color="auto" w:fill="FFFFFF"/>
        <w:tabs>
          <w:tab w:val="clear" w:pos="708"/>
          <w:tab w:val="left" w:pos="1134" w:leader="none"/>
        </w:tabs>
        <w:ind w:firstLine="709" w:left="709"/>
        <w:jc w:val="both"/>
        <w:rPr>
          <w:bCs/>
        </w:rPr>
      </w:pPr>
      <w:r>
        <w:rPr>
          <w:bCs/>
        </w:rPr>
      </w:r>
    </w:p>
    <w:p>
      <w:pPr>
        <w:pStyle w:val="ListParagraph"/>
        <w:numPr>
          <w:ilvl w:val="0"/>
          <w:numId w:val="2"/>
        </w:numPr>
        <w:shd w:val="clear" w:color="auto" w:fill="FFFFFF"/>
        <w:tabs>
          <w:tab w:val="clear" w:pos="708"/>
          <w:tab w:val="left" w:pos="284" w:leader="none"/>
          <w:tab w:val="left" w:pos="426" w:leader="none"/>
        </w:tabs>
        <w:ind w:hanging="0" w:left="0"/>
        <w:jc w:val="center"/>
        <w:rPr>
          <w:b/>
          <w:bCs/>
        </w:rPr>
      </w:pPr>
      <w:r>
        <w:rPr>
          <w:b/>
          <w:bCs/>
        </w:rPr>
        <w:t>Конфиденциальность</w:t>
      </w:r>
    </w:p>
    <w:p>
      <w:pPr>
        <w:pStyle w:val="ListParagraph"/>
        <w:numPr>
          <w:ilvl w:val="1"/>
          <w:numId w:val="2"/>
        </w:numPr>
        <w:shd w:val="clear" w:color="auto" w:fill="FFFFFF"/>
        <w:tabs>
          <w:tab w:val="clear" w:pos="708"/>
          <w:tab w:val="left" w:pos="1134" w:leader="none"/>
        </w:tabs>
        <w:ind w:firstLine="709" w:left="0"/>
        <w:jc w:val="both"/>
        <w:rPr>
          <w:bCs/>
        </w:rPr>
      </w:pPr>
      <w:r>
        <w:rPr>
          <w:bCs/>
        </w:rPr>
        <w:t>Под конфиденциальной информацией (далее – «Информация») для целей Договора понимается любая информация, передаваемая Заказчиком Подрядчику в устной либо документарной форме, в виде электронного файла, в любом другом виде, а также полученная Подрядчиком самостоятельно в ходе визитов на территорию Заказчика в процессе проведения переговоров, заключения и исполнения Договора, в отношении которой соблюдаются следующие условия:</w:t>
      </w:r>
    </w:p>
    <w:p>
      <w:pPr>
        <w:pStyle w:val="Normal"/>
        <w:numPr>
          <w:ilvl w:val="0"/>
          <w:numId w:val="3"/>
        </w:numPr>
        <w:tabs>
          <w:tab w:val="clear" w:pos="708"/>
          <w:tab w:val="left" w:pos="709" w:leader="none"/>
          <w:tab w:val="left" w:pos="1418" w:leader="none"/>
        </w:tabs>
        <w:spacing w:lineRule="auto" w:line="240"/>
        <w:ind w:firstLine="709" w:left="0"/>
        <w:rPr>
          <w:bCs/>
          <w:sz w:val="24"/>
          <w:szCs w:val="24"/>
        </w:rPr>
      </w:pPr>
      <w:r>
        <w:rPr>
          <w:bCs/>
          <w:sz w:val="24"/>
          <w:szCs w:val="24"/>
        </w:rPr>
        <w:t>данная Информация имеет действительную или потенциальную коммерческую ценность для Заказчика в силу неизвестности ее третьим лица</w:t>
      </w:r>
      <w:r>
        <w:rPr>
          <w:sz w:val="24"/>
          <w:szCs w:val="24"/>
        </w:rPr>
        <w:t xml:space="preserve">м, в том числе по причине </w:t>
      </w:r>
      <w:r>
        <w:rPr>
          <w:bCs/>
          <w:sz w:val="24"/>
          <w:szCs w:val="24"/>
        </w:rPr>
        <w:t>введения в отношении нее режима Коммерческой тайны;</w:t>
      </w:r>
    </w:p>
    <w:p>
      <w:pPr>
        <w:pStyle w:val="Normal"/>
        <w:numPr>
          <w:ilvl w:val="0"/>
          <w:numId w:val="3"/>
        </w:numPr>
        <w:tabs>
          <w:tab w:val="clear" w:pos="708"/>
          <w:tab w:val="left" w:pos="709" w:leader="none"/>
          <w:tab w:val="left" w:pos="1418" w:leader="none"/>
        </w:tabs>
        <w:spacing w:lineRule="auto" w:line="240"/>
        <w:ind w:firstLine="709" w:left="0"/>
        <w:rPr>
          <w:bCs/>
          <w:sz w:val="24"/>
          <w:szCs w:val="24"/>
        </w:rPr>
      </w:pPr>
      <w:r>
        <w:rPr>
          <w:bCs/>
          <w:sz w:val="24"/>
          <w:szCs w:val="24"/>
        </w:rPr>
        <w:t>данная Информация не относится к категории общедоступной или обязательной к раскрытию Заказчиком в соответствии с законодательством Российской Федерации.</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Условия Договора и сам факт его заключения составляют Информацию в той части, в которой такие обстоятельства не были известны третьим лицам на момент заключения Договора в рамках, проводимых Заказчиком закупочных процедур. </w:t>
      </w:r>
    </w:p>
    <w:p>
      <w:pPr>
        <w:pStyle w:val="ListParagraph"/>
        <w:numPr>
          <w:ilvl w:val="1"/>
          <w:numId w:val="2"/>
        </w:numPr>
        <w:shd w:val="clear" w:color="auto" w:fill="FFFFFF"/>
        <w:tabs>
          <w:tab w:val="clear" w:pos="708"/>
          <w:tab w:val="left" w:pos="1134" w:leader="none"/>
        </w:tabs>
        <w:ind w:firstLine="709" w:left="0"/>
        <w:jc w:val="both"/>
        <w:rPr>
          <w:bCs/>
        </w:rPr>
      </w:pPr>
      <w:r>
        <w:rPr>
          <w:bCs/>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pPr>
        <w:pStyle w:val="ListParagraph"/>
        <w:numPr>
          <w:ilvl w:val="1"/>
          <w:numId w:val="2"/>
        </w:numPr>
        <w:shd w:val="clear" w:color="auto" w:fill="FFFFFF"/>
        <w:tabs>
          <w:tab w:val="clear" w:pos="708"/>
          <w:tab w:val="left" w:pos="1134" w:leader="none"/>
        </w:tabs>
        <w:ind w:firstLine="709" w:left="0"/>
        <w:jc w:val="both"/>
        <w:rPr>
          <w:bCs/>
        </w:rPr>
      </w:pPr>
      <w:r>
        <w:rPr>
          <w:bCs/>
        </w:rPr>
        <w:t>На документ, содержащий Информацию, Заказчиком может быть нанесен гриф «Коммерческая тайна» с указанием обладателя этой информации.</w:t>
      </w:r>
    </w:p>
    <w:p>
      <w:pPr>
        <w:pStyle w:val="ListParagraph"/>
        <w:numPr>
          <w:ilvl w:val="1"/>
          <w:numId w:val="2"/>
        </w:numPr>
        <w:shd w:val="clear" w:color="auto" w:fill="FFFFFF"/>
        <w:tabs>
          <w:tab w:val="clear" w:pos="708"/>
          <w:tab w:val="left" w:pos="1134" w:leader="none"/>
        </w:tabs>
        <w:ind w:firstLine="709" w:left="0"/>
        <w:jc w:val="both"/>
        <w:rPr>
          <w:bCs/>
        </w:rPr>
      </w:pPr>
      <w:r>
        <w:rPr>
          <w:bCs/>
        </w:rPr>
        <w:t>Информация может включать в себя, в том числе, но не ограничиваясь:</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 xml:space="preserve">финансовую </w:t>
      </w:r>
      <w:r>
        <w:rPr>
          <w:bCs/>
          <w:sz w:val="24"/>
          <w:szCs w:val="24"/>
          <w:lang w:val="en-US"/>
        </w:rPr>
        <w:t>(</w:t>
      </w:r>
      <w:r>
        <w:rPr>
          <w:bCs/>
          <w:sz w:val="24"/>
          <w:szCs w:val="24"/>
        </w:rPr>
        <w:t>бухгалтерскую) отчетность;</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учетные регистры бухгалтерского учета;</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бизнес-планы;</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договоры (соглашения), заключаемые или заключенные непосредственно Заказчиком либо в его пользу, а также информацию и сведения, содержащиеся в данных договорах (соглашениях);</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сведения о финансовых, правовых, организационных и других взаимоотношениях между Заказчиком и третьими лицами;</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сведения о находящихся на регистрации товарных знаках Заказчика, а также об объектах интеллектуальной собственности Заказчика, сведения о которых не являются опубликованными;</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сведения о подрядчиках, поставщиках оборудования и материалов, а также о покупателях продукции Заказчика и их аффилированных лицах;</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сведения об объемах производства и / или реализации продукции и услуг Заказчика или его аффилированных лиц;</w:t>
      </w:r>
    </w:p>
    <w:p>
      <w:pPr>
        <w:pStyle w:val="Normal"/>
        <w:numPr>
          <w:ilvl w:val="0"/>
          <w:numId w:val="3"/>
        </w:numPr>
        <w:tabs>
          <w:tab w:val="clear" w:pos="708"/>
          <w:tab w:val="left" w:pos="1418" w:leader="none"/>
        </w:tabs>
        <w:spacing w:lineRule="auto" w:line="240"/>
        <w:ind w:firstLine="709" w:left="0"/>
        <w:rPr>
          <w:bCs/>
          <w:sz w:val="24"/>
          <w:szCs w:val="24"/>
        </w:rPr>
      </w:pPr>
      <w:r>
        <w:rPr>
          <w:bCs/>
          <w:sz w:val="24"/>
          <w:szCs w:val="24"/>
        </w:rPr>
        <w:t>материалы обобщения, анализа, оценки, иных действий по обработке вышеуказанной Информации и документов.</w:t>
      </w:r>
    </w:p>
    <w:p>
      <w:pPr>
        <w:pStyle w:val="ListParagraph"/>
        <w:numPr>
          <w:ilvl w:val="1"/>
          <w:numId w:val="2"/>
        </w:numPr>
        <w:shd w:val="clear" w:color="auto" w:fill="FFFFFF"/>
        <w:tabs>
          <w:tab w:val="clear" w:pos="708"/>
          <w:tab w:val="left" w:pos="1134" w:leader="none"/>
        </w:tabs>
        <w:ind w:firstLine="709" w:left="0"/>
        <w:jc w:val="both"/>
        <w:rPr>
          <w:bCs/>
        </w:rPr>
      </w:pPr>
      <w:bookmarkStart w:id="22" w:name="_Ref361337849"/>
      <w:r>
        <w:rPr>
          <w:bCs/>
        </w:rPr>
        <w:t>Подрядчик 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Pr/>
        <w:t xml:space="preserve"> </w:t>
      </w:r>
      <w:r>
        <w:rPr>
          <w:bCs/>
        </w:rPr>
        <w:t>(расторжения) или исполнения, в том числе:</w:t>
      </w:r>
      <w:bookmarkEnd w:id="22"/>
      <w:r>
        <w:rPr>
          <w:bCs/>
        </w:rPr>
        <w:t xml:space="preserve"> </w:t>
      </w:r>
    </w:p>
    <w:p>
      <w:pPr>
        <w:pStyle w:val="ListParagraph"/>
        <w:numPr>
          <w:ilvl w:val="2"/>
          <w:numId w:val="2"/>
        </w:numPr>
        <w:shd w:val="clear" w:color="auto" w:fill="FFFFFF"/>
        <w:tabs>
          <w:tab w:val="clear" w:pos="708"/>
          <w:tab w:val="left" w:pos="1418" w:leader="none"/>
        </w:tabs>
        <w:ind w:firstLine="709" w:left="0"/>
        <w:jc w:val="both"/>
        <w:rPr>
          <w:bCs/>
        </w:rPr>
      </w:pPr>
      <w:r>
        <w:rPr>
          <w:bCs/>
        </w:rPr>
        <w:t>не разглашать, не обсуждать содержание, не предоставлять копий, не публиковать и не раскрывать в какой-либо иной форме третьим лицам Информацию без получения предварительного письменного согласия Заказчика, за исключением случаев, предусмотренных законодательством Российской Федерации и пунктом 8.6.7 Договора;</w:t>
      </w:r>
    </w:p>
    <w:p>
      <w:pPr>
        <w:pStyle w:val="ListParagraph"/>
        <w:numPr>
          <w:ilvl w:val="2"/>
          <w:numId w:val="2"/>
        </w:numPr>
        <w:shd w:val="clear" w:color="auto" w:fill="FFFFFF"/>
        <w:tabs>
          <w:tab w:val="clear" w:pos="708"/>
          <w:tab w:val="left" w:pos="1418" w:leader="none"/>
        </w:tabs>
        <w:ind w:firstLine="709" w:left="0"/>
        <w:jc w:val="both"/>
        <w:rPr>
          <w:bCs/>
        </w:rPr>
      </w:pPr>
      <w:r>
        <w:rPr>
          <w:bCs/>
        </w:rPr>
        <w:t>принимать меры предосторожности, обычно используемые для защиты такого рода информации в деловом обороте, при этом если Подрядчиком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Подрядчик обязан использовать в отношении защиты Информации, обычно используемые им меры защиты;</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использовать Информацию исключительно для целей, для которых она была предоставлена; </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не осуществлять действий (бездействия), результатом которых может быть несанкционированное раскрытие Информации третьим лицам; </w:t>
      </w:r>
    </w:p>
    <w:p>
      <w:pPr>
        <w:pStyle w:val="ListParagraph"/>
        <w:numPr>
          <w:ilvl w:val="2"/>
          <w:numId w:val="2"/>
        </w:numPr>
        <w:shd w:val="clear" w:color="auto" w:fill="FFFFFF"/>
        <w:tabs>
          <w:tab w:val="clear" w:pos="708"/>
          <w:tab w:val="left" w:pos="1418" w:leader="none"/>
        </w:tabs>
        <w:ind w:firstLine="709" w:left="0"/>
        <w:jc w:val="both"/>
        <w:rPr>
          <w:bCs/>
        </w:rPr>
      </w:pPr>
      <w:r>
        <w:rPr>
          <w:bCs/>
        </w:rPr>
        <w:t>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Заказчика, а также обеспечить содействие, которое потребует Заказчик для предотвращения такого несанкционированного раскрытия;</w:t>
      </w:r>
    </w:p>
    <w:p>
      <w:pPr>
        <w:pStyle w:val="ListParagraph"/>
        <w:numPr>
          <w:ilvl w:val="2"/>
          <w:numId w:val="2"/>
        </w:numPr>
        <w:shd w:val="clear" w:color="auto" w:fill="FFFFFF"/>
        <w:tabs>
          <w:tab w:val="clear" w:pos="708"/>
          <w:tab w:val="left" w:pos="1418" w:leader="none"/>
        </w:tabs>
        <w:ind w:firstLine="709" w:left="0"/>
        <w:jc w:val="both"/>
        <w:rPr>
          <w:bCs/>
        </w:rPr>
      </w:pPr>
      <w:r>
        <w:rPr>
          <w:bCs/>
        </w:rPr>
        <w:t xml:space="preserve">по требованию Заказчика уничтожить всю Информацию, которую будет невозможно передать Заказчику по его запросу или которая будет находиться на технических средствах Подрядчика. При этом Заказчик признает, что обязательства 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или методики создания резервных копий; </w:t>
      </w:r>
    </w:p>
    <w:p>
      <w:pPr>
        <w:pStyle w:val="ListParagraph"/>
        <w:numPr>
          <w:ilvl w:val="2"/>
          <w:numId w:val="2"/>
        </w:numPr>
        <w:shd w:val="clear" w:color="auto" w:fill="FFFFFF"/>
        <w:tabs>
          <w:tab w:val="clear" w:pos="708"/>
          <w:tab w:val="left" w:pos="1418" w:leader="none"/>
        </w:tabs>
        <w:ind w:firstLine="709" w:left="0"/>
        <w:jc w:val="both"/>
        <w:rPr>
          <w:bCs/>
        </w:rPr>
      </w:pPr>
      <w:bookmarkStart w:id="23" w:name="_Ref361337832"/>
      <w:bookmarkEnd w:id="23"/>
      <w:r>
        <w:rPr>
          <w:bCs/>
        </w:rPr>
        <w:t>раскрывать Информацию своим работникам, членам органов управления 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за свои собственные;</w:t>
      </w:r>
    </w:p>
    <w:p>
      <w:pPr>
        <w:pStyle w:val="ListParagraph"/>
        <w:numPr>
          <w:ilvl w:val="2"/>
          <w:numId w:val="2"/>
        </w:numPr>
        <w:shd w:val="clear" w:color="auto" w:fill="FFFFFF"/>
        <w:tabs>
          <w:tab w:val="clear" w:pos="708"/>
          <w:tab w:val="left" w:pos="1418" w:leader="none"/>
        </w:tabs>
        <w:ind w:firstLine="709" w:left="0"/>
        <w:jc w:val="both"/>
        <w:rPr>
          <w:bCs/>
        </w:rPr>
      </w:pPr>
      <w:r>
        <w:rPr>
          <w:bCs/>
        </w:rPr>
        <w:t>не разглашать третьим лицам факты передачи или получения Информации.</w:t>
      </w:r>
    </w:p>
    <w:p>
      <w:pPr>
        <w:pStyle w:val="ListParagraph"/>
        <w:numPr>
          <w:ilvl w:val="1"/>
          <w:numId w:val="2"/>
        </w:numPr>
        <w:shd w:val="clear" w:color="auto" w:fill="FFFFFF"/>
        <w:tabs>
          <w:tab w:val="clear" w:pos="708"/>
          <w:tab w:val="left" w:pos="1134" w:leader="none"/>
        </w:tabs>
        <w:ind w:firstLine="709" w:left="0"/>
        <w:jc w:val="both"/>
        <w:rPr>
          <w:bCs/>
        </w:rPr>
      </w:pPr>
      <w:bookmarkStart w:id="24" w:name="_Ref361337863"/>
      <w:bookmarkEnd w:id="24"/>
      <w:r>
        <w:rPr>
          <w:bCs/>
        </w:rPr>
        <w:t>Подрядчик, нарушивший условия настоящего раздела Договора, возмещает Заказчику убытки, вызванные таким нарушением, в течение 10 (десяти) календарных дней с даты получения соответствующего письменного требования Заказчика.</w:t>
      </w:r>
    </w:p>
    <w:p>
      <w:pPr>
        <w:pStyle w:val="ListParagraph"/>
        <w:numPr>
          <w:ilvl w:val="1"/>
          <w:numId w:val="2"/>
        </w:numPr>
        <w:shd w:val="clear" w:color="auto" w:fill="FFFFFF"/>
        <w:tabs>
          <w:tab w:val="clear" w:pos="708"/>
          <w:tab w:val="left" w:pos="1134" w:leader="none"/>
        </w:tabs>
        <w:ind w:firstLine="709" w:left="0"/>
        <w:jc w:val="both"/>
        <w:rPr>
          <w:bCs/>
        </w:rPr>
      </w:pPr>
      <w:r>
        <w:rPr>
          <w:bCs/>
        </w:rPr>
        <w:t>Подрядчик обязуется обеспечить повторение условий Договора в части соблюдения режима конфиденциальности Информации в договорах, заключаемых с Субподрядчиками.</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Условия защиты Информации, представляемой Подрядчиком Заказчику, могут быть дополнительно урегулированы отдельно заключаемым Сторонами соглашением. </w:t>
      </w:r>
    </w:p>
    <w:p>
      <w:pPr>
        <w:pStyle w:val="ListParagraph"/>
        <w:shd w:val="clear" w:color="auto" w:fill="FFFFFF"/>
        <w:tabs>
          <w:tab w:val="clear" w:pos="708"/>
          <w:tab w:val="left" w:pos="284" w:leader="none"/>
        </w:tabs>
        <w:ind w:firstLine="709" w:left="0"/>
        <w:rPr>
          <w:b/>
          <w:bCs/>
        </w:rPr>
      </w:pPr>
      <w:r>
        <w:rPr>
          <w:b/>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Антикоррупционная оговорка</w:t>
      </w:r>
    </w:p>
    <w:p>
      <w:pPr>
        <w:pStyle w:val="ListParagraph"/>
        <w:numPr>
          <w:ilvl w:val="1"/>
          <w:numId w:val="2"/>
        </w:numPr>
        <w:shd w:val="clear" w:color="auto" w:fill="FFFFFF"/>
        <w:tabs>
          <w:tab w:val="clear" w:pos="708"/>
          <w:tab w:val="left" w:pos="1418" w:leader="none"/>
        </w:tabs>
        <w:ind w:firstLine="709" w:left="0"/>
        <w:jc w:val="both"/>
        <w:rPr>
          <w:bCs/>
          <w:color w:val="000000"/>
        </w:rPr>
      </w:pPr>
      <w:r>
        <w:rPr>
          <w:color w:val="000000"/>
        </w:rPr>
        <w:t xml:space="preserve">Стороны обязуются обеспечить, чтобы при исполнении обязательств, возникающих по договору или в связи с ним, их аффилированные лица, работники и / или представители не осуществляли, прямо или косвенно не </w:t>
      </w:r>
      <w:r>
        <w:rPr>
          <w:bCs/>
          <w:color w:val="000000"/>
        </w:rPr>
        <w:t>предлагали и не разрешали выплату денежных средств, передачу ценностей и/или подарков, безвозмездного оказания услуг или выполнения работ любым аффилированным лицам, работникам и / или представителям другой Стороны, а также лицам, аффилированным по отношению к таким работникам и / или представителям, для оказания влияния на действия или решения соответствующих лиц с целью получения каких-либо неправомерных преимуществ или для достижения иных неправомерных целей.</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При исполнении своих обязательств по Договору, Стороны, их аффилированные лица, работники и / или представители также обязуются не осуществлять действия, квалифицируемые </w:t>
      </w:r>
      <w:r>
        <w:rPr>
          <w:bCs/>
          <w:color w:val="000000"/>
          <w:shd w:fill="auto" w:val="clear"/>
        </w:rPr>
        <w:t>Применимым правом как дача или полу</w:t>
      </w:r>
      <w:r>
        <w:rPr>
          <w:bCs/>
          <w:color w:val="000000"/>
        </w:rPr>
        <w:t>чение взятки, коммерческий подкуп, а также любые иные действия, нарушающие требования Применимого права и международных актов о противодействии коррупции, легализации (отмыванию) доходов, полученных преступным путем.</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В случае возникновения у любой Стороны обоснованных предположений, 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Стороны гарантируют осуществление надлежащего разбирательства  по фактам нарушения положений настоящего раздела Договора с соблюдением принципов конфиденциальности и применение эффективных мер по предотвращению возможных конфликтных ситуаций. Стороны гарантируют отсутствие негативных последствий как для уведомившей Стороны в целом, так и для конкретных работников уведомившей Стороны, сообщивших о факте нарушений. </w:t>
      </w:r>
    </w:p>
    <w:p>
      <w:pPr>
        <w:pStyle w:val="ListParagraph"/>
        <w:numPr>
          <w:ilvl w:val="1"/>
          <w:numId w:val="2"/>
        </w:numPr>
        <w:shd w:val="clear" w:color="auto" w:fill="FFFFFF"/>
        <w:tabs>
          <w:tab w:val="clear" w:pos="708"/>
          <w:tab w:val="left" w:pos="1418" w:leader="none"/>
        </w:tabs>
        <w:ind w:firstLine="709" w:left="0"/>
        <w:jc w:val="both"/>
        <w:rPr>
          <w:bCs/>
          <w:color w:val="000000"/>
        </w:rPr>
      </w:pPr>
      <w:r>
        <w:rPr>
          <w:bCs/>
          <w:color w:val="000000"/>
        </w:rPr>
        <w:t xml:space="preserve">В случае подтверждения факта нарушения одной Стороной положений настоящего раздела Договора и/или неполучения другой Стороной информации об итогах рассмотрения уведомления о нарушении, другая Сторона имеет право расторгнуть Договор в одностороннем внесудебном порядке путем направления письменного уведомления не позднее, чем за 5 (пять) календарных дней до даты прекращения действия Договора. </w:t>
      </w:r>
    </w:p>
    <w:p>
      <w:pPr>
        <w:pStyle w:val="ListParagraph"/>
        <w:widowControl w:val="false"/>
        <w:numPr>
          <w:ilvl w:val="1"/>
          <w:numId w:val="2"/>
        </w:numPr>
        <w:shd w:val="clear" w:color="auto" w:fill="FFFFFF"/>
        <w:tabs>
          <w:tab w:val="clear" w:pos="708"/>
          <w:tab w:val="left" w:pos="567" w:leader="none"/>
          <w:tab w:val="left" w:pos="1418" w:leader="none"/>
        </w:tabs>
        <w:ind w:firstLine="709" w:left="0"/>
        <w:jc w:val="both"/>
        <w:rPr>
          <w:color w:val="000000"/>
        </w:rPr>
      </w:pPr>
      <w:r>
        <w:rPr>
          <w:color w:val="000000"/>
        </w:rPr>
        <w:t xml:space="preserve">Каналы связи Линия доверия Группы РусГидро: </w:t>
      </w:r>
    </w:p>
    <w:p>
      <w:pPr>
        <w:pStyle w:val="ListParagraph"/>
        <w:widowControl w:val="false"/>
        <w:numPr>
          <w:ilvl w:val="2"/>
          <w:numId w:val="2"/>
        </w:numPr>
        <w:shd w:val="clear" w:color="auto" w:fill="FFFFFF"/>
        <w:tabs>
          <w:tab w:val="clear" w:pos="708"/>
          <w:tab w:val="left" w:pos="567" w:leader="none"/>
          <w:tab w:val="left" w:pos="1418" w:leader="none"/>
        </w:tabs>
        <w:ind w:firstLine="709" w:left="0"/>
        <w:jc w:val="both"/>
        <w:rPr>
          <w:szCs w:val="28"/>
        </w:rPr>
      </w:pPr>
      <w:r>
        <w:rPr>
          <w:szCs w:val="28"/>
        </w:rPr>
        <w:t>Электронная почта: ld@rushydro.ru.</w:t>
      </w:r>
    </w:p>
    <w:p>
      <w:pPr>
        <w:pStyle w:val="ListParagraph"/>
        <w:widowControl w:val="false"/>
        <w:numPr>
          <w:ilvl w:val="2"/>
          <w:numId w:val="2"/>
        </w:numPr>
        <w:shd w:val="clear" w:color="auto" w:fill="FFFFFF"/>
        <w:tabs>
          <w:tab w:val="clear" w:pos="708"/>
          <w:tab w:val="left" w:pos="567" w:leader="none"/>
          <w:tab w:val="left" w:pos="1418" w:leader="none"/>
        </w:tabs>
        <w:ind w:firstLine="709" w:left="0"/>
        <w:jc w:val="both"/>
        <w:rPr>
          <w:szCs w:val="28"/>
        </w:rPr>
      </w:pPr>
      <w:r>
        <w:rPr>
          <w:szCs w:val="28"/>
        </w:rPr>
        <w:t>Специальная форма «обратной связи», размещенная на официальном сайте Общества в сети интернет: http://www.rushydro.ru/ (далее перейти по ссылке «Линия доверия» и заполнить поля специальной формы «обратной связи»);</w:t>
      </w:r>
    </w:p>
    <w:p>
      <w:pPr>
        <w:pStyle w:val="ListParagraph"/>
        <w:numPr>
          <w:ilvl w:val="2"/>
          <w:numId w:val="2"/>
        </w:numPr>
        <w:tabs>
          <w:tab w:val="clear" w:pos="708"/>
          <w:tab w:val="left" w:pos="1418" w:leader="none"/>
        </w:tabs>
        <w:spacing w:lineRule="auto" w:line="259" w:before="0" w:after="160"/>
        <w:ind w:firstLine="709" w:left="0"/>
        <w:contextualSpacing/>
        <w:jc w:val="both"/>
        <w:rPr>
          <w:szCs w:val="28"/>
        </w:rPr>
      </w:pPr>
      <w:r>
        <w:rPr>
          <w:szCs w:val="28"/>
        </w:rPr>
        <w:t>Телефонный автоответчик (необходимо позвонить по телефону +7(495) 785-09-37 (круглосуточно), дождаться сигнала о начале записи и оставить устное обращение).</w:t>
      </w:r>
    </w:p>
    <w:p>
      <w:pPr>
        <w:pStyle w:val="Normal"/>
        <w:tabs>
          <w:tab w:val="clear" w:pos="708"/>
          <w:tab w:val="left" w:pos="709" w:leader="none"/>
        </w:tabs>
        <w:spacing w:lineRule="auto" w:line="240"/>
        <w:ind w:firstLine="709"/>
        <w:rPr>
          <w:b/>
          <w:sz w:val="24"/>
          <w:szCs w:val="24"/>
        </w:rPr>
      </w:pPr>
      <w:r>
        <w:rPr>
          <w:b/>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Обстоятельства непреодолимой силы (форс-мажор)</w:t>
      </w:r>
    </w:p>
    <w:p>
      <w:pPr>
        <w:pStyle w:val="ListParagraph"/>
        <w:numPr>
          <w:ilvl w:val="1"/>
          <w:numId w:val="2"/>
        </w:numPr>
        <w:shd w:val="clear" w:color="auto" w:fill="FFFFFF"/>
        <w:tabs>
          <w:tab w:val="clear" w:pos="708"/>
          <w:tab w:val="left" w:pos="1134" w:leader="none"/>
        </w:tabs>
        <w:ind w:firstLine="709" w:left="0"/>
        <w:jc w:val="both"/>
        <w:rPr>
          <w:bCs/>
        </w:rPr>
      </w:pPr>
      <w:r>
        <w:rPr>
          <w:bCs/>
        </w:rPr>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pPr>
        <w:pStyle w:val="ListParagraph"/>
        <w:numPr>
          <w:ilvl w:val="1"/>
          <w:numId w:val="2"/>
        </w:numPr>
        <w:shd w:val="clear" w:color="auto" w:fill="FFFFFF"/>
        <w:tabs>
          <w:tab w:val="clear" w:pos="708"/>
          <w:tab w:val="left" w:pos="1134" w:leader="none"/>
        </w:tabs>
        <w:ind w:firstLine="709" w:left="0"/>
        <w:jc w:val="both"/>
        <w:rPr>
          <w:bCs/>
        </w:rPr>
      </w:pPr>
      <w:r>
        <w:rPr>
          <w:bCs/>
        </w:rPr>
        <w:t>Сторона имеет право ссылаться на обстоятельства непреодолимой силы только в случае, если такие обстоятельства непосредственно повлияли на возможность исполнения этой Стороной условий Договора.</w:t>
      </w:r>
    </w:p>
    <w:p>
      <w:pPr>
        <w:pStyle w:val="ListParagraph"/>
        <w:numPr>
          <w:ilvl w:val="1"/>
          <w:numId w:val="2"/>
        </w:numPr>
        <w:shd w:val="clear" w:color="auto" w:fill="FFFFFF"/>
        <w:tabs>
          <w:tab w:val="clear" w:pos="708"/>
          <w:tab w:val="left" w:pos="1134" w:leader="none"/>
        </w:tabs>
        <w:ind w:firstLine="709" w:left="0"/>
        <w:jc w:val="both"/>
        <w:rPr>
          <w:bCs/>
        </w:rPr>
      </w:pPr>
      <w:r>
        <w:rPr>
          <w:bCs/>
        </w:rPr>
        <w:t>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и предполагаемом сроке действия обстоятельств непреодолимой силы, и в разумный срок представить необходимые документальные подтверждения.</w:t>
      </w:r>
    </w:p>
    <w:p>
      <w:pPr>
        <w:pStyle w:val="ListParagraph"/>
        <w:numPr>
          <w:ilvl w:val="1"/>
          <w:numId w:val="2"/>
        </w:numPr>
        <w:shd w:val="clear" w:color="auto" w:fill="FFFFFF"/>
        <w:tabs>
          <w:tab w:val="clear" w:pos="708"/>
          <w:tab w:val="left" w:pos="1134" w:leader="none"/>
        </w:tabs>
        <w:ind w:firstLine="709" w:left="0"/>
        <w:jc w:val="both"/>
        <w:rPr>
          <w:bCs/>
        </w:rPr>
      </w:pPr>
      <w:r>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Pr>
          <w:bCs/>
        </w:rPr>
        <w:t>.</w:t>
      </w:r>
    </w:p>
    <w:p>
      <w:pPr>
        <w:pStyle w:val="ListParagraph"/>
        <w:numPr>
          <w:ilvl w:val="1"/>
          <w:numId w:val="2"/>
        </w:numPr>
        <w:shd w:val="clear" w:color="auto" w:fill="FFFFFF"/>
        <w:tabs>
          <w:tab w:val="clear" w:pos="708"/>
          <w:tab w:val="left" w:pos="1134" w:leader="none"/>
        </w:tabs>
        <w:ind w:firstLine="709" w:left="0"/>
        <w:jc w:val="both"/>
        <w:rPr>
          <w:bCs/>
        </w:rPr>
      </w:pPr>
      <w:r>
        <w:rPr>
          <w:bCs/>
        </w:rPr>
        <w:t xml:space="preserve">Отсутствие уведомления или несвоевременное уведомление об обстоятельствах непреодолимой силы лишает соответствующую Сторону права 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pPr>
        <w:pStyle w:val="ListParagraph"/>
        <w:numPr>
          <w:ilvl w:val="1"/>
          <w:numId w:val="2"/>
        </w:numPr>
        <w:shd w:val="clear" w:color="auto" w:fill="FFFFFF"/>
        <w:tabs>
          <w:tab w:val="clear" w:pos="708"/>
          <w:tab w:val="left" w:pos="568" w:leader="none"/>
        </w:tabs>
        <w:ind w:firstLine="709" w:left="0"/>
        <w:jc w:val="both"/>
        <w:rPr>
          <w:bCs/>
        </w:rPr>
      </w:pPr>
      <w:r>
        <w:rPr>
          <w:bCs/>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pPr>
        <w:pStyle w:val="ListParagraph"/>
        <w:shd w:val="clear" w:color="auto" w:fill="FFFFFF"/>
        <w:tabs>
          <w:tab w:val="clear" w:pos="708"/>
          <w:tab w:val="left" w:pos="568" w:leader="none"/>
        </w:tabs>
        <w:ind w:firstLine="709" w:left="0"/>
        <w:jc w:val="both"/>
        <w:rPr>
          <w:bCs/>
        </w:rPr>
      </w:pPr>
      <w:r>
        <w:rPr>
          <w:bCs/>
        </w:rPr>
        <w:t>При этом любая из Сторон вправе отказаться от исполнения Договора в одностороннем внесудебном порядке.</w:t>
      </w:r>
    </w:p>
    <w:p>
      <w:pPr>
        <w:pStyle w:val="Normal"/>
        <w:spacing w:lineRule="auto" w:line="240"/>
        <w:ind w:firstLine="709"/>
        <w:rPr>
          <w:sz w:val="24"/>
          <w:szCs w:val="24"/>
        </w:rPr>
      </w:pPr>
      <w:r>
        <w:rPr>
          <w:sz w:val="24"/>
          <w:szCs w:val="24"/>
        </w:rPr>
      </w:r>
    </w:p>
    <w:p>
      <w:pPr>
        <w:pStyle w:val="ListParagraph"/>
        <w:numPr>
          <w:ilvl w:val="0"/>
          <w:numId w:val="2"/>
        </w:numPr>
        <w:shd w:val="clear" w:color="auto" w:fill="FFFFFF"/>
        <w:tabs>
          <w:tab w:val="clear" w:pos="708"/>
          <w:tab w:val="left" w:pos="426" w:leader="none"/>
        </w:tabs>
        <w:ind w:hanging="0" w:left="0"/>
        <w:jc w:val="center"/>
        <w:rPr>
          <w:b/>
          <w:bCs/>
        </w:rPr>
      </w:pPr>
      <w:r>
        <w:rPr>
          <w:b/>
          <w:bCs/>
        </w:rPr>
        <w:t>Особые положения</w:t>
      </w:r>
    </w:p>
    <w:p>
      <w:pPr>
        <w:pStyle w:val="ListParagraph"/>
        <w:numPr>
          <w:ilvl w:val="1"/>
          <w:numId w:val="2"/>
        </w:numPr>
        <w:shd w:val="clear" w:color="auto" w:fill="FFFFFF"/>
        <w:tabs>
          <w:tab w:val="clear" w:pos="708"/>
          <w:tab w:val="left" w:pos="1134" w:leader="none"/>
        </w:tabs>
        <w:ind w:firstLine="709" w:left="0"/>
        <w:jc w:val="both"/>
        <w:rPr>
          <w:bCs/>
        </w:rPr>
      </w:pPr>
      <w:bookmarkStart w:id="25" w:name="_Ref361337900"/>
      <w:r>
        <w:rPr>
          <w:bCs/>
        </w:rPr>
        <w:t>Подрядчик обязуется не привлекать и не допускать привлечения к исполнению обязательств по Договору организации:</w:t>
      </w:r>
    </w:p>
    <w:p>
      <w:pPr>
        <w:pStyle w:val="ListParagraph"/>
        <w:numPr>
          <w:ilvl w:val="1"/>
          <w:numId w:val="9"/>
        </w:numPr>
        <w:shd w:val="clear" w:color="auto" w:fill="FFFFFF"/>
        <w:tabs>
          <w:tab w:val="clear" w:pos="708"/>
          <w:tab w:val="left" w:pos="1134" w:leader="none"/>
        </w:tabs>
        <w:ind w:firstLine="709" w:left="0"/>
        <w:jc w:val="both"/>
        <w:rPr/>
      </w:pPr>
      <w:r>
        <w:rPr>
          <w:bCs/>
        </w:rPr>
        <w:t xml:space="preserve">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2">
        <w:r>
          <w:rPr>
            <w:rStyle w:val="Hyperlink"/>
            <w:bCs/>
          </w:rPr>
          <w:t>№ 18162/09</w:t>
        </w:r>
      </w:hyperlink>
      <w:r>
        <w:rPr>
          <w:bCs/>
        </w:rPr>
        <w:t xml:space="preserve"> и от 25.05.2010 </w:t>
      </w:r>
      <w:hyperlink r:id="rId3">
        <w:r>
          <w:rPr>
            <w:rStyle w:val="Hyperlink"/>
            <w:bCs/>
          </w:rPr>
          <w:t>№ 15658/09</w:t>
        </w:r>
      </w:hyperlink>
      <w:r>
        <w:rPr>
          <w:bCs/>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 / или </w:t>
      </w:r>
    </w:p>
    <w:p>
      <w:pPr>
        <w:pStyle w:val="ListParagraph"/>
        <w:numPr>
          <w:ilvl w:val="1"/>
          <w:numId w:val="9"/>
        </w:numPr>
        <w:shd w:val="clear" w:color="auto" w:fill="FFFFFF"/>
        <w:tabs>
          <w:tab w:val="clear" w:pos="708"/>
          <w:tab w:val="left" w:pos="1134" w:leader="none"/>
        </w:tabs>
        <w:ind w:firstLine="709" w:left="0"/>
        <w:jc w:val="both"/>
        <w:rPr/>
      </w:pPr>
      <w:r>
        <w:rPr>
          <w:bCs/>
        </w:rPr>
        <w:t xml:space="preserve">соответствующие </w:t>
      </w:r>
      <w:hyperlink r:id="rId4">
        <w:r>
          <w:rPr>
            <w:rStyle w:val="Hyperlink"/>
            <w:bCs/>
          </w:rPr>
          <w:t>Критери</w:t>
        </w:r>
      </w:hyperlink>
      <w:bookmarkEnd w:id="25"/>
      <w:r>
        <w:rPr>
          <w:bCs/>
        </w:rPr>
        <w:t>ям самостоятельной оценки рисков для налогоплательщиков, используемым налоговыми органами в процессе отбора объектов для проведения выездных налоговых проверок (утверждены приказом ФНС России от 30.05.2007 № ММ-3-06/333@).</w:t>
      </w:r>
    </w:p>
    <w:p>
      <w:pPr>
        <w:pStyle w:val="ListParagraph"/>
        <w:numPr>
          <w:ilvl w:val="1"/>
          <w:numId w:val="2"/>
        </w:numPr>
        <w:shd w:val="clear" w:color="auto" w:fill="FFFFFF"/>
        <w:tabs>
          <w:tab w:val="clear" w:pos="708"/>
          <w:tab w:val="left" w:pos="1134" w:leader="none"/>
        </w:tabs>
        <w:ind w:firstLine="709" w:left="0"/>
        <w:jc w:val="both"/>
        <w:rPr>
          <w:bCs/>
        </w:rPr>
      </w:pPr>
      <w:bookmarkStart w:id="26" w:name="_Ref361337921"/>
      <w:bookmarkEnd w:id="26"/>
      <w:r>
        <w:rPr>
          <w:bCs/>
        </w:rPr>
        <w:t>Подрядчик обязуется незамедлительно уведомить Заказчика о появлении в ходе исполнения Договора у привлеченных Подрядчиком Субподрядчиков признаков недобросовестности, указанных в пункте 11.1 Договора, а также обеспечить прекращение участия таких организаций в исполнении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27" w:name="_Ref361337948"/>
      <w:bookmarkEnd w:id="27"/>
      <w:r>
        <w:rPr>
          <w:bCs/>
        </w:rPr>
        <w:t>В случае нарушения Подрядчиком обязательств, установленных пунктами 11.1, 11.2 Договора, Заказчик вправе в одностороннем внесудебном порядке отказаться от Договора путем направления уведомления об отказе от Договора (исполнения Договора) с указанием даты прекращения (расторжения) Договора, которая не должна наступать ранее 10 (десяти) рабочих дней с даты получения Подрядчиком такого уведомления. Договор считается прекращенным (расторгнутым) с даты, указанной в уведомлении об отказе от Договора (исполнения Договора) при условии, что Заказчик не отзовет указанное уведомление по итогам рассмотрения мотивированных письменных возражений Подрядчика, представленных до наступления указанной Заказчиком даты расторжения.</w:t>
      </w:r>
    </w:p>
    <w:p>
      <w:pPr>
        <w:pStyle w:val="ListParagraph"/>
        <w:numPr>
          <w:ilvl w:val="1"/>
          <w:numId w:val="2"/>
        </w:numPr>
        <w:shd w:val="clear" w:color="auto" w:fill="FFFFFF"/>
        <w:tabs>
          <w:tab w:val="clear" w:pos="708"/>
          <w:tab w:val="left" w:pos="1134" w:leader="none"/>
        </w:tabs>
        <w:ind w:firstLine="709" w:left="0"/>
        <w:jc w:val="both"/>
        <w:rPr>
          <w:bCs/>
        </w:rPr>
      </w:pPr>
      <w:bookmarkStart w:id="28" w:name="_Ref361337980"/>
      <w:bookmarkEnd w:id="28"/>
      <w:r>
        <w:rPr>
          <w:bCs/>
        </w:rPr>
        <w:t>Подрядчик обязан уплатить Заказчику штраф в размере суммы денежных средств, перечисленных организации, отвечающей признакам недобросовестности, а также дополнительно компенсировать Заказчику убытки, причиненные в результате нарушения обязательств, установленных пунктами 11.1, 11.2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29" w:name="_Ref373243071"/>
      <w:bookmarkEnd w:id="29"/>
      <w:r>
        <w:rPr>
          <w:bCs/>
        </w:rPr>
        <w:t>Штраф, предусмотренный пунктом 11.4 Договора, оплачивается Подрядчиком в течение 10 (десяти) рабочих дней с даты получения соответствующего письменного требования Заказчика. Заказчик вправе предъявить требование об уплате штрафа вне независимости от направления уведомления об отказе от Договора (исполнения Договора), предусмотренного пунктом 11.3 Договора.</w:t>
      </w:r>
    </w:p>
    <w:p>
      <w:pPr>
        <w:pStyle w:val="ListParagraph"/>
        <w:numPr>
          <w:ilvl w:val="1"/>
          <w:numId w:val="2"/>
        </w:numPr>
        <w:shd w:val="clear" w:color="auto" w:fill="FFFFFF"/>
        <w:tabs>
          <w:tab w:val="clear" w:pos="708"/>
          <w:tab w:val="left" w:pos="1134" w:leader="none"/>
        </w:tabs>
        <w:ind w:firstLine="709" w:left="0"/>
        <w:jc w:val="both"/>
        <w:rPr>
          <w:bCs/>
        </w:rPr>
      </w:pPr>
      <w:bookmarkStart w:id="30" w:name="_Ref361337992"/>
      <w:bookmarkEnd w:id="30"/>
      <w:r>
        <w:rPr>
          <w:bCs/>
        </w:rPr>
        <w:t>Заказчик вправе приостановить осуществление любых платежей по Договору, причитающихся Подрядчику, независимо от наличия оснований и наступления сроков таких платежей, до уплаты Подрядчиком штрафа, предусмотренного пунктом 11.4 Договора. При этом Заказчик не будет считаться просрочившим и / или нарушившим свои обязательства по Договору.</w:t>
      </w:r>
    </w:p>
    <w:p>
      <w:pPr>
        <w:pStyle w:val="ListParagraph"/>
        <w:numPr>
          <w:ilvl w:val="1"/>
          <w:numId w:val="2"/>
        </w:numPr>
        <w:shd w:val="clear" w:color="auto" w:fill="FFFFFF"/>
        <w:tabs>
          <w:tab w:val="clear" w:pos="708"/>
          <w:tab w:val="left" w:pos="1134" w:leader="none"/>
        </w:tabs>
        <w:ind w:firstLine="709" w:left="0"/>
        <w:jc w:val="both"/>
        <w:rPr>
          <w:bCs/>
        </w:rPr>
      </w:pPr>
      <w:r>
        <w:rPr>
          <w:bCs/>
        </w:rPr>
        <w:t>Независимо от других положений Договора, положения пунктов 11.4, 11.5 Договора продолжают действовать в течение 4 (четырех) лет после его прекращения (расторжения) или исполнения.</w:t>
      </w:r>
    </w:p>
    <w:p>
      <w:pPr>
        <w:pStyle w:val="ListParagraph"/>
        <w:shd w:val="clear" w:color="auto" w:fill="FFFFFF"/>
        <w:tabs>
          <w:tab w:val="clear" w:pos="708"/>
          <w:tab w:val="left" w:pos="567" w:leader="none"/>
        </w:tabs>
        <w:ind w:firstLine="709" w:left="0"/>
        <w:jc w:val="both"/>
        <w:rPr>
          <w:bCs/>
        </w:rPr>
      </w:pPr>
      <w:r>
        <w:rPr>
          <w:bCs/>
        </w:rPr>
      </w:r>
    </w:p>
    <w:p>
      <w:pPr>
        <w:pStyle w:val="ListParagraph"/>
        <w:numPr>
          <w:ilvl w:val="0"/>
          <w:numId w:val="2"/>
        </w:numPr>
        <w:shd w:val="clear" w:color="auto" w:fill="FFFFFF"/>
        <w:tabs>
          <w:tab w:val="clear" w:pos="708"/>
          <w:tab w:val="left" w:pos="426" w:leader="none"/>
        </w:tabs>
        <w:ind w:hanging="0" w:left="0"/>
        <w:jc w:val="center"/>
        <w:rPr>
          <w:b/>
        </w:rPr>
      </w:pPr>
      <w:r>
        <w:rPr>
          <w:b/>
          <w:bCs/>
        </w:rPr>
        <w:t>Заверения</w:t>
      </w:r>
      <w:r>
        <w:rPr>
          <w:b/>
        </w:rPr>
        <w:t xml:space="preserve"> Сторон</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bCs/>
        </w:rPr>
        <w:t>Каждая</w:t>
      </w:r>
      <w:r>
        <w:rPr/>
        <w:t xml:space="preserve"> из Сторон заявляет и подтверждает другой Стороне, что: </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t>она является юридическим лицом, надлежащим образом учрежденным и правомерно осуществляющим свою деятельность в соответствии с законодательством Российской Федерации;</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t>она обладает полной правоспособностью на заключение Договора и исполнение всех своих обязательств, возникающих из Договора или в связи с ним;</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t>она получила все корпоративные одобрения Договора органами управления 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и иных лиц необходимые для заключения и исполнения Договора;</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t>лица, подписывающие от имени Сторон Договор, надлежащим образом уполномочены на его подписание;</w:t>
      </w:r>
    </w:p>
    <w:p>
      <w:pPr>
        <w:pStyle w:val="ListParagraph"/>
        <w:numPr>
          <w:ilvl w:val="0"/>
          <w:numId w:val="6"/>
        </w:numPr>
        <w:shd w:val="clear" w:color="auto" w:fill="FFFFFF"/>
        <w:tabs>
          <w:tab w:val="clear" w:pos="708"/>
          <w:tab w:val="left" w:pos="709" w:leader="none"/>
          <w:tab w:val="left" w:pos="1418" w:leader="none"/>
        </w:tabs>
        <w:ind w:firstLine="709" w:left="0"/>
        <w:jc w:val="both"/>
        <w:rPr/>
      </w:pPr>
      <w:r>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или в связи с ним. </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Подрядчик заявляет и заверяет Заказчика в том, что на момент заключения Договора:</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учредителем / учредителями Подрядчика являются лица, не являющиеся массовыми учредителем / учредителями;</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руководителем Подрядчика является лицо, не являющееся массовым руководителем;</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 xml:space="preserve">Подрядчик фактически находится по адресу, указанному в Едином государственном реестре юридических лиц; </w:t>
      </w:r>
    </w:p>
    <w:p>
      <w:pPr>
        <w:pStyle w:val="ListParagraph"/>
        <w:numPr>
          <w:ilvl w:val="0"/>
          <w:numId w:val="8"/>
        </w:numPr>
        <w:shd w:val="clear" w:color="auto" w:fill="FFFFFF"/>
        <w:tabs>
          <w:tab w:val="clear" w:pos="708"/>
          <w:tab w:val="left" w:pos="709" w:leader="none"/>
          <w:tab w:val="left" w:pos="1418" w:leader="none"/>
        </w:tabs>
        <w:ind w:firstLine="709" w:left="0"/>
        <w:jc w:val="both"/>
        <w:rPr/>
      </w:pPr>
      <w:r>
        <w:rPr/>
        <w:t>Подрядчик своевременно и в полном объеме уплачивает налоги и сборы в соответствии с законодательством Российской Федерации;</w:t>
      </w:r>
    </w:p>
    <w:p>
      <w:pPr>
        <w:pStyle w:val="ListParagraph"/>
        <w:numPr>
          <w:ilvl w:val="0"/>
          <w:numId w:val="7"/>
        </w:numPr>
        <w:shd w:val="clear" w:color="auto" w:fill="FFFFFF"/>
        <w:tabs>
          <w:tab w:val="clear" w:pos="708"/>
          <w:tab w:val="left" w:pos="567" w:leader="none"/>
          <w:tab w:val="left" w:pos="1418" w:leader="none"/>
        </w:tabs>
        <w:ind w:firstLine="709" w:left="0"/>
        <w:jc w:val="both"/>
        <w:rPr/>
      </w:pPr>
      <w:r>
        <w:rPr/>
        <w:t>Подрядчик не находится в процедуре несостоятельности (банкротства) 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 органов государственной власти и должностных лиц, иные обстоятельства способные повлиять на возможность Подрядчика должным образом исполнять обязательства, возникающие из Договору или в связи с ним;</w:t>
      </w:r>
    </w:p>
    <w:p>
      <w:pPr>
        <w:pStyle w:val="ListParagraph"/>
        <w:numPr>
          <w:ilvl w:val="0"/>
          <w:numId w:val="7"/>
        </w:numPr>
        <w:shd w:val="clear" w:color="auto" w:fill="FFFFFF"/>
        <w:tabs>
          <w:tab w:val="clear" w:pos="708"/>
          <w:tab w:val="left" w:pos="567" w:leader="none"/>
          <w:tab w:val="left" w:pos="1418" w:leader="none"/>
        </w:tabs>
        <w:ind w:firstLine="709" w:left="0"/>
        <w:jc w:val="both"/>
        <w:rPr>
          <w:highlight w:val="none"/>
          <w:shd w:fill="auto" w:val="clear"/>
        </w:rPr>
      </w:pPr>
      <w:r>
        <w:rPr>
          <w:shd w:fill="auto" w:val="clear"/>
        </w:rPr>
        <w:t>Подрядчик состоит в СРО, основанной на членстве лиц, выполняющих подготовку проектной документации;</w:t>
      </w:r>
    </w:p>
    <w:p>
      <w:pPr>
        <w:pStyle w:val="ListParagraph"/>
        <w:numPr>
          <w:ilvl w:val="0"/>
          <w:numId w:val="7"/>
        </w:numPr>
        <w:shd w:val="clear" w:color="auto" w:fill="FFFFFF"/>
        <w:tabs>
          <w:tab w:val="clear" w:pos="708"/>
          <w:tab w:val="left" w:pos="567" w:leader="none"/>
          <w:tab w:val="left" w:pos="1418" w:leader="none"/>
        </w:tabs>
        <w:ind w:firstLine="709" w:left="0"/>
        <w:jc w:val="both"/>
        <w:rPr>
          <w:highlight w:val="none"/>
          <w:shd w:fill="auto" w:val="clear"/>
        </w:rPr>
      </w:pPr>
      <w:r>
        <w:rPr>
          <w:shd w:fill="auto" w:val="clear"/>
        </w:rPr>
        <w:t>Подрядчик имеет в штате по основному месту работы не менее 2 (двух) специалистов по организации архитектурно-строительного проектирования, сведения о которых включены в Национальный реестр специалистов в области инженерных изысканий и архитектурно-строительного проектирования;</w:t>
      </w:r>
    </w:p>
    <w:p>
      <w:pPr>
        <w:pStyle w:val="ListParagraph"/>
        <w:numPr>
          <w:ilvl w:val="0"/>
          <w:numId w:val="7"/>
        </w:numPr>
        <w:shd w:val="clear" w:color="auto" w:fill="FFFFFF"/>
        <w:tabs>
          <w:tab w:val="clear" w:pos="708"/>
          <w:tab w:val="left" w:pos="567" w:leader="none"/>
          <w:tab w:val="left" w:pos="1418" w:leader="none"/>
        </w:tabs>
        <w:ind w:firstLine="709" w:left="0"/>
        <w:jc w:val="both"/>
        <w:rPr/>
      </w:pPr>
      <w:r>
        <w:rPr/>
        <w:t>не отозвана (прекращена, приостановлена, признана недействительной) лицензия или иной документ, необходимый для осуществления деятельности Подрядчика в соответствии с требованиями законодательства Российской Федерации, срок действия лицензии (иного документа) не истек, либо вид деятельности, осуществляемый Подрядчиком, не подлежит лицензированию и / или не требует получения иного разрешительного документа;</w:t>
      </w:r>
    </w:p>
    <w:p>
      <w:pPr>
        <w:pStyle w:val="ListParagraph"/>
        <w:numPr>
          <w:ilvl w:val="0"/>
          <w:numId w:val="7"/>
        </w:numPr>
        <w:shd w:val="clear" w:color="auto" w:fill="FFFFFF"/>
        <w:tabs>
          <w:tab w:val="clear" w:pos="708"/>
          <w:tab w:val="left" w:pos="567" w:leader="none"/>
          <w:tab w:val="left" w:pos="1418" w:leader="none"/>
        </w:tabs>
        <w:ind w:firstLine="709" w:left="0"/>
        <w:jc w:val="both"/>
        <w:rPr/>
      </w:pPr>
      <w:r>
        <w:rPr/>
        <w:t xml:space="preserve">Подрядчик тщательно изучил всю информацию, связанную с Договором, в том числе по вопросам, влияющим на сроки, стоимость и качество Работ, полностью ознакомлен со всеми условиями производства Работ, и принимает на себя все расходы, риски и трудности исполнения обязательств, возникающих из Договора или в связи с ним; </w:t>
      </w:r>
    </w:p>
    <w:p>
      <w:pPr>
        <w:pStyle w:val="ListParagraph"/>
        <w:numPr>
          <w:ilvl w:val="0"/>
          <w:numId w:val="7"/>
        </w:numPr>
        <w:shd w:val="clear" w:color="auto" w:fill="FFFFFF"/>
        <w:tabs>
          <w:tab w:val="clear" w:pos="708"/>
          <w:tab w:val="left" w:pos="567" w:leader="none"/>
          <w:tab w:val="left" w:pos="1418" w:leader="none"/>
        </w:tabs>
        <w:ind w:firstLine="709" w:left="0"/>
        <w:jc w:val="both"/>
        <w:rPr/>
      </w:pPr>
      <w:r>
        <w:rPr/>
        <w:t>Подрядчик тщательно изучил все регламенты Заказчика и подтверждает готовность неукоснительного соблюдения в полном объеме предъявляемых Заказчиком требований;</w:t>
      </w:r>
    </w:p>
    <w:p>
      <w:pPr>
        <w:pStyle w:val="ListParagraph"/>
        <w:numPr>
          <w:ilvl w:val="0"/>
          <w:numId w:val="7"/>
        </w:numPr>
        <w:shd w:val="clear" w:color="auto" w:fill="FFFFFF"/>
        <w:tabs>
          <w:tab w:val="clear" w:pos="708"/>
          <w:tab w:val="left" w:pos="567" w:leader="none"/>
          <w:tab w:val="left" w:pos="1418" w:leader="none"/>
        </w:tabs>
        <w:ind w:firstLine="709" w:left="0"/>
        <w:jc w:val="both"/>
        <w:rPr/>
      </w:pPr>
      <w:r>
        <w:rPr/>
        <w:t>Подрядчик своевременно и в полном объеме в соответствии с законодательством Российской Федерации намерен отражать все финансово-хозяйственные операции, связанные с исполнением Договора;</w:t>
      </w:r>
    </w:p>
    <w:p>
      <w:pPr>
        <w:pStyle w:val="ListParagraph"/>
        <w:numPr>
          <w:ilvl w:val="0"/>
          <w:numId w:val="7"/>
        </w:numPr>
        <w:shd w:val="clear" w:color="auto" w:fill="FFFFFF"/>
        <w:tabs>
          <w:tab w:val="clear" w:pos="708"/>
          <w:tab w:val="left" w:pos="567" w:leader="none"/>
          <w:tab w:val="left" w:pos="1418" w:leader="none"/>
        </w:tabs>
        <w:ind w:firstLine="709" w:left="0"/>
        <w:jc w:val="both"/>
        <w:rPr/>
      </w:pPr>
      <w:r>
        <w:rPr/>
        <w:t>вся информация, предоставленная Заказчику, является достоверной, полной и точной, и Подрядчик не скрыл никаких обстоятельств, которые при их обнаружении могли бы негативно повлиять на решение Заказчика заключить Договор на указанных в нем условиях;</w:t>
      </w:r>
    </w:p>
    <w:p>
      <w:pPr>
        <w:pStyle w:val="ListParagraph"/>
        <w:numPr>
          <w:ilvl w:val="0"/>
          <w:numId w:val="7"/>
        </w:numPr>
        <w:shd w:val="clear" w:color="auto" w:fill="FFFFFF"/>
        <w:tabs>
          <w:tab w:val="clear" w:pos="708"/>
          <w:tab w:val="left" w:pos="567" w:leader="none"/>
          <w:tab w:val="left" w:pos="1418" w:leader="none"/>
        </w:tabs>
        <w:ind w:firstLine="709" w:left="0"/>
        <w:jc w:val="both"/>
        <w:rPr/>
      </w:pPr>
      <w:r>
        <w:rPr/>
        <w:t xml:space="preserve">Подрядчик согласен на многократное применение разработанной им </w:t>
      </w:r>
      <w:r>
        <w:rPr>
          <w:shd w:fill="auto" w:val="clear"/>
        </w:rPr>
        <w:t xml:space="preserve"> </w:t>
      </w:r>
      <w:r>
        <w:rPr/>
        <w:t xml:space="preserve"> в качестве типовой проектной документации (проектной документации повторного использования).</w:t>
      </w:r>
    </w:p>
    <w:p>
      <w:pPr>
        <w:pStyle w:val="Normal"/>
        <w:numPr>
          <w:ilvl w:val="1"/>
          <w:numId w:val="2"/>
        </w:numPr>
        <w:spacing w:lineRule="auto" w:line="240"/>
        <w:ind w:firstLine="709" w:left="0"/>
        <w:rPr>
          <w:sz w:val="24"/>
          <w:szCs w:val="24"/>
        </w:rPr>
      </w:pPr>
      <w:r>
        <w:rPr>
          <w:sz w:val="24"/>
          <w:szCs w:val="24"/>
        </w:rPr>
        <w:t xml:space="preserve">При заключении и исполнении Договора каждая Сторона полагается на достоверность, точность и полноту заверений другой Стороны, изложенных в настоящем разделе Договора. </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 xml:space="preserve">В случае, если </w:t>
      </w:r>
      <w:r>
        <w:rPr>
          <w:bCs/>
        </w:rPr>
        <w:t>Подрядчик</w:t>
      </w:r>
      <w:r>
        <w:rPr/>
        <w:t xml:space="preserve"> при заключении Договора предоставил Заказчику недостоверные заверения о любом из указанных в настоящем разделе Договора обстоятельств, имеющих существенное значение для заключения и исполнения Договора, </w:t>
      </w:r>
      <w:r>
        <w:rPr>
          <w:bCs/>
        </w:rPr>
        <w:t xml:space="preserve">Подрядчик </w:t>
      </w:r>
      <w:r>
        <w:rPr/>
        <w:t>обязан по письменному требованию Заказчика уплатить последнему штраф в размере 5% (пять процентов) от Цены Договора, указанной в пункте 3.1 Договора.</w:t>
      </w:r>
    </w:p>
    <w:p>
      <w:pPr>
        <w:pStyle w:val="ListParagraph"/>
        <w:numPr>
          <w:ilvl w:val="1"/>
          <w:numId w:val="2"/>
        </w:numPr>
        <w:shd w:val="clear" w:color="auto" w:fill="FFFFFF"/>
        <w:tabs>
          <w:tab w:val="clear" w:pos="708"/>
          <w:tab w:val="left" w:pos="1134" w:leader="none"/>
          <w:tab w:val="left" w:pos="1418" w:leader="none"/>
        </w:tabs>
        <w:ind w:firstLine="709" w:left="0"/>
        <w:jc w:val="both"/>
        <w:rPr/>
      </w:pPr>
      <w:r>
        <w:rPr/>
        <w:t>Недостоверность, неточность или неполнота любых указанных в настоящем разделе Договора 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pPr>
        <w:pStyle w:val="ListParagraph"/>
        <w:shd w:val="clear" w:color="auto" w:fill="FFFFFF"/>
        <w:tabs>
          <w:tab w:val="clear" w:pos="708"/>
          <w:tab w:val="left" w:pos="1134" w:leader="none"/>
          <w:tab w:val="left" w:pos="1418" w:leader="none"/>
        </w:tabs>
        <w:ind w:firstLine="709" w:left="709"/>
        <w:jc w:val="both"/>
        <w:rPr>
          <w:b/>
        </w:rPr>
      </w:pPr>
      <w:r>
        <w:rPr>
          <w:b/>
        </w:rPr>
      </w:r>
    </w:p>
    <w:p>
      <w:pPr>
        <w:pStyle w:val="ListParagraph"/>
        <w:numPr>
          <w:ilvl w:val="0"/>
          <w:numId w:val="2"/>
        </w:numPr>
        <w:shd w:val="clear" w:color="auto" w:fill="FFFFFF"/>
        <w:tabs>
          <w:tab w:val="clear" w:pos="708"/>
          <w:tab w:val="left" w:pos="426" w:leader="none"/>
        </w:tabs>
        <w:ind w:hanging="0" w:left="0"/>
        <w:jc w:val="center"/>
        <w:rPr>
          <w:b/>
        </w:rPr>
      </w:pPr>
      <w:r>
        <w:rPr>
          <w:b/>
          <w:bCs/>
        </w:rPr>
        <w:t>П</w:t>
      </w:r>
      <w:r>
        <w:rPr>
          <w:b/>
        </w:rPr>
        <w:t>рекращение (расторжение) Договора</w:t>
      </w:r>
    </w:p>
    <w:p>
      <w:pPr>
        <w:pStyle w:val="ListParagraph"/>
        <w:numPr>
          <w:ilvl w:val="1"/>
          <w:numId w:val="2"/>
        </w:numPr>
        <w:shd w:val="clear" w:color="auto" w:fill="FFFFFF"/>
        <w:tabs>
          <w:tab w:val="clear" w:pos="708"/>
          <w:tab w:val="left" w:pos="1134" w:leader="none"/>
        </w:tabs>
        <w:ind w:firstLine="709" w:left="0"/>
        <w:jc w:val="both"/>
        <w:rPr/>
      </w:pPr>
      <w:r>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пунктом 15.7 Договора, с приложением подписанного соглашения о расторжении Договора. Уведомление о расторжении Договора должно быть рассмотрено Стороной-получателем в течение 30 (тридцати) календарных дней со дня его получения.</w:t>
      </w:r>
    </w:p>
    <w:p>
      <w:pPr>
        <w:pStyle w:val="ListParagraph"/>
        <w:numPr>
          <w:ilvl w:val="1"/>
          <w:numId w:val="2"/>
        </w:numPr>
        <w:shd w:val="clear" w:color="auto" w:fill="FFFFFF"/>
        <w:tabs>
          <w:tab w:val="clear" w:pos="708"/>
          <w:tab w:val="left" w:pos="1134" w:leader="none"/>
        </w:tabs>
        <w:ind w:firstLine="709" w:left="0"/>
        <w:jc w:val="both"/>
        <w:rPr/>
      </w:pPr>
      <w:r>
        <w:rPr/>
        <w:t xml:space="preserve">Заказчик вправе в любое время до сдачи ему результатов Работ в одностороннем внесудебном порядке отказаться от Договора полностью или в части, уплатив Подрядчику часть установленной Цены Договора, пропорциональную части Работ, выполненных до получения Подрядчиком уведомления Заказчика об отказе от Договора (исполнения Договора). </w:t>
      </w:r>
    </w:p>
    <w:p>
      <w:pPr>
        <w:pStyle w:val="ListParagraph"/>
        <w:shd w:val="clear" w:color="auto" w:fill="FFFFFF"/>
        <w:tabs>
          <w:tab w:val="clear" w:pos="708"/>
          <w:tab w:val="left" w:pos="1134" w:leader="none"/>
        </w:tabs>
        <w:ind w:firstLine="709" w:left="0"/>
        <w:jc w:val="both"/>
        <w:rPr/>
      </w:pPr>
      <w:r>
        <w:rPr/>
        <w:t>Возмещение убытков Подрядчика, вызванных отказом от Договора (исполнения Договора), Заказчиком не производится.</w:t>
      </w:r>
    </w:p>
    <w:p>
      <w:pPr>
        <w:pStyle w:val="ListParagraph"/>
        <w:numPr>
          <w:ilvl w:val="1"/>
          <w:numId w:val="2"/>
        </w:numPr>
        <w:shd w:val="clear" w:color="auto" w:fill="FFFFFF"/>
        <w:tabs>
          <w:tab w:val="clear" w:pos="708"/>
          <w:tab w:val="left" w:pos="1134" w:leader="none"/>
        </w:tabs>
        <w:ind w:firstLine="709" w:left="0"/>
        <w:jc w:val="both"/>
        <w:rPr/>
      </w:pPr>
      <w:r>
        <w:rPr/>
        <w:t>В случае существенного нарушения Договора Подрядчиком Заказчик вправе в одностороннем внесудебном порядке отказаться от Договора и потребовать полного возмещения Подрядчиком убытков, причиненных отказом от Договора (исполнения Договора).</w:t>
      </w:r>
    </w:p>
    <w:p>
      <w:pPr>
        <w:pStyle w:val="ListParagraph"/>
        <w:shd w:val="clear" w:color="auto" w:fill="FFFFFF"/>
        <w:tabs>
          <w:tab w:val="clear" w:pos="708"/>
          <w:tab w:val="left" w:pos="1134" w:leader="none"/>
        </w:tabs>
        <w:ind w:firstLine="709" w:left="0"/>
        <w:jc w:val="both"/>
        <w:rPr/>
      </w:pPr>
      <w:r>
        <w:rPr/>
        <w:t>Заказчик одновременно с уведомлением об отказе от Договора (исполнения Договора) направляет Подрядчику письменное требование о возмещении убытков с приложением расчета суммы убытков. Подрядчик обязан оплатить Заказчику убытки не позднее 15 (пятнадцати) календарных дней с момента получения расчета суммы убытков от Заказчика.</w:t>
      </w:r>
    </w:p>
    <w:p>
      <w:pPr>
        <w:pStyle w:val="ListParagraph"/>
        <w:numPr>
          <w:ilvl w:val="1"/>
          <w:numId w:val="2"/>
        </w:numPr>
        <w:shd w:val="clear" w:color="auto" w:fill="FFFFFF"/>
        <w:tabs>
          <w:tab w:val="clear" w:pos="708"/>
          <w:tab w:val="left" w:pos="1134" w:leader="none"/>
        </w:tabs>
        <w:ind w:firstLine="709" w:left="0"/>
        <w:jc w:val="both"/>
        <w:rPr/>
      </w:pPr>
      <w:r>
        <w:rPr/>
        <w:t>Стороны установили, что существенным нарушением Договора Подрядчиком является:</w:t>
      </w:r>
    </w:p>
    <w:p>
      <w:pPr>
        <w:pStyle w:val="ListParagraph"/>
        <w:numPr>
          <w:ilvl w:val="0"/>
          <w:numId w:val="5"/>
        </w:numPr>
        <w:tabs>
          <w:tab w:val="clear" w:pos="708"/>
          <w:tab w:val="left" w:pos="1134" w:leader="none"/>
        </w:tabs>
        <w:ind w:firstLine="709" w:left="0" w:right="23"/>
        <w:jc w:val="both"/>
        <w:rPr/>
      </w:pPr>
      <w:r>
        <w:rPr/>
        <w:t xml:space="preserve">нарушение Подрядчиком начального и конечного сроков выполнения Работ по Договору, а также промежуточных сроков выполнения Работ, установленных Договором, более чем на </w:t>
      </w:r>
      <w:r>
        <w:rPr>
          <w:shd w:fill="auto" w:val="clear"/>
        </w:rPr>
        <w:t>30 (тридцать) календарных дней</w:t>
      </w:r>
      <w:r>
        <w:rPr>
          <w:rStyle w:val="FootnoteReference"/>
          <w:shd w:fill="auto" w:val="clear"/>
        </w:rPr>
        <w:footnoteReference w:id="13"/>
      </w:r>
      <w:r>
        <w:rPr>
          <w:shd w:fill="auto" w:val="clear"/>
        </w:rPr>
        <w:t xml:space="preserve"> </w:t>
      </w:r>
      <w:bookmarkStart w:id="31" w:name="_GoBack"/>
      <w:bookmarkEnd w:id="31"/>
      <w:r>
        <w:rPr>
          <w:shd w:fill="auto" w:val="clear"/>
        </w:rPr>
        <w:t xml:space="preserve"> </w:t>
      </w:r>
      <w:r>
        <w:rPr/>
        <w:t>по причинам, не зависящим от Заказчика;</w:t>
      </w:r>
    </w:p>
    <w:p>
      <w:pPr>
        <w:pStyle w:val="ListParagraph"/>
        <w:numPr>
          <w:ilvl w:val="0"/>
          <w:numId w:val="5"/>
        </w:numPr>
        <w:tabs>
          <w:tab w:val="clear" w:pos="708"/>
          <w:tab w:val="left" w:pos="1134" w:leader="none"/>
        </w:tabs>
        <w:ind w:firstLine="709" w:left="0" w:right="23"/>
        <w:jc w:val="both"/>
        <w:rPr/>
      </w:pPr>
      <w:r>
        <w:rPr/>
        <w:t>несоблюдение Подрядчиком требований к качеству Работ</w:t>
      </w:r>
      <w:r>
        <w:rPr>
          <w:bCs/>
        </w:rPr>
        <w:t>,</w:t>
      </w:r>
      <w:r>
        <w:rPr/>
        <w:t xml:space="preserve"> если исправление выявленных Заказчиком недостатков, несоответствий Работ влечет нарушение сроков выполнения Работ более чем на 60 (шестьдесят) календарных дней либо такие недостатки являются неустранимыми;</w:t>
      </w:r>
    </w:p>
    <w:p>
      <w:pPr>
        <w:pStyle w:val="ListParagraph"/>
        <w:numPr>
          <w:ilvl w:val="0"/>
          <w:numId w:val="5"/>
        </w:numPr>
        <w:tabs>
          <w:tab w:val="clear" w:pos="708"/>
          <w:tab w:val="left" w:pos="1134" w:leader="none"/>
        </w:tabs>
        <w:ind w:firstLine="709" w:left="0" w:right="23"/>
        <w:jc w:val="both"/>
        <w:rPr/>
      </w:pPr>
      <w:r>
        <w:rPr/>
        <w:t>отсутствие (по причине отзыва, прекращения, приостановления действия, признания недействительным или по другим основаниям) допусков, разрешений и / или лицензий;</w:t>
      </w:r>
    </w:p>
    <w:p>
      <w:pPr>
        <w:pStyle w:val="ListParagraph"/>
        <w:numPr>
          <w:ilvl w:val="0"/>
          <w:numId w:val="5"/>
        </w:numPr>
        <w:tabs>
          <w:tab w:val="clear" w:pos="708"/>
          <w:tab w:val="left" w:pos="1134" w:leader="none"/>
        </w:tabs>
        <w:ind w:firstLine="709" w:left="0" w:right="23"/>
        <w:jc w:val="both"/>
        <w:rPr>
          <w:highlight w:val="none"/>
          <w:shd w:fill="auto" w:val="clear"/>
        </w:rPr>
      </w:pPr>
      <w:r>
        <w:rPr>
          <w:shd w:fill="auto" w:val="clear"/>
        </w:rPr>
        <w:t>прекращение членства в СРО, основанной на членстве лиц, осуществляющих подготовку проектной документации, предоставляющих Подрядчику право на производство Работ по Договору;</w:t>
      </w:r>
    </w:p>
    <w:p>
      <w:pPr>
        <w:pStyle w:val="ListParagraph"/>
        <w:numPr>
          <w:ilvl w:val="0"/>
          <w:numId w:val="5"/>
        </w:numPr>
        <w:tabs>
          <w:tab w:val="clear" w:pos="708"/>
          <w:tab w:val="left" w:pos="1134" w:leader="none"/>
        </w:tabs>
        <w:ind w:firstLine="709" w:left="0" w:right="23"/>
        <w:jc w:val="both"/>
        <w:rPr>
          <w:highlight w:val="none"/>
          <w:shd w:fill="auto" w:val="clear"/>
        </w:rPr>
      </w:pPr>
      <w:r>
        <w:rPr>
          <w:shd w:fill="auto" w:val="clear"/>
        </w:rPr>
        <w:t>принятие актов государственных органов или организаций, лишающих Подрядчика в установленном порядке права на производство Работ по Договору;</w:t>
      </w:r>
      <w:r>
        <w:rPr>
          <w:rStyle w:val="FootnoteReference"/>
          <w:shd w:fill="auto" w:val="clear"/>
        </w:rPr>
        <w:footnoteReference w:id="14"/>
      </w:r>
    </w:p>
    <w:p>
      <w:pPr>
        <w:pStyle w:val="ListParagraph"/>
        <w:numPr>
          <w:ilvl w:val="0"/>
          <w:numId w:val="5"/>
        </w:numPr>
        <w:tabs>
          <w:tab w:val="clear" w:pos="708"/>
          <w:tab w:val="left" w:pos="1134" w:leader="none"/>
        </w:tabs>
        <w:ind w:firstLine="709" w:left="0" w:right="23"/>
        <w:jc w:val="both"/>
        <w:rPr/>
      </w:pPr>
      <w:r>
        <w:rPr/>
        <w:t>наложение ареста на имущество Подрядчика, введение арбитражным судом процедуры несостоятельности (банкротства) в отношении Подрядчика;</w:t>
      </w:r>
    </w:p>
    <w:p>
      <w:pPr>
        <w:pStyle w:val="ListParagraph"/>
        <w:numPr>
          <w:ilvl w:val="0"/>
          <w:numId w:val="5"/>
        </w:numPr>
        <w:tabs>
          <w:tab w:val="clear" w:pos="708"/>
          <w:tab w:val="left" w:pos="1134" w:leader="none"/>
        </w:tabs>
        <w:ind w:firstLine="709" w:left="0" w:right="23"/>
        <w:jc w:val="both"/>
        <w:rPr/>
      </w:pPr>
      <w:r>
        <w:rPr/>
        <w:t>привлечение к выполнению Работ по Договору третьих лиц (Субподрядчиков) с нарушением требований, установленных пунктом 2.4.2 Договора;</w:t>
      </w:r>
    </w:p>
    <w:p>
      <w:pPr>
        <w:pStyle w:val="ListParagraph"/>
        <w:numPr>
          <w:ilvl w:val="0"/>
          <w:numId w:val="5"/>
        </w:numPr>
        <w:tabs>
          <w:tab w:val="clear" w:pos="708"/>
          <w:tab w:val="left" w:pos="1134" w:leader="none"/>
        </w:tabs>
        <w:ind w:firstLine="709" w:left="0" w:right="23"/>
        <w:jc w:val="both"/>
        <w:rPr/>
      </w:pPr>
      <w:r>
        <w:rPr/>
        <w:t>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Заказчику таких документов;</w:t>
      </w:r>
    </w:p>
    <w:p>
      <w:pPr>
        <w:pStyle w:val="ListParagraph"/>
        <w:numPr>
          <w:ilvl w:val="0"/>
          <w:numId w:val="5"/>
        </w:numPr>
        <w:tabs>
          <w:tab w:val="clear" w:pos="708"/>
          <w:tab w:val="left" w:pos="1134" w:leader="none"/>
        </w:tabs>
        <w:ind w:firstLine="709" w:left="0" w:right="23"/>
        <w:jc w:val="both"/>
        <w:rPr/>
      </w:pPr>
      <w:r>
        <w:rPr/>
        <w:t>установление в ходе исполнения Договора фактов несоответствия Подрядчика установленным документацией о закупке требованиям к участникам закупки и / или предост</w:t>
      </w:r>
      <w:r>
        <w:rPr>
          <w:shd w:fill="auto" w:val="clear"/>
        </w:rPr>
        <w:t>авления недостоверной информации о своем соответствии таким требованиям, а также недостоверности, неточности или неполноты заверений Подрядчика об обстоятельствах, указанных в разделе 12 Договора, и имеющих существенное значение для его заключения и исполнения;</w:t>
      </w:r>
    </w:p>
    <w:p>
      <w:pPr>
        <w:pStyle w:val="BodyText"/>
        <w:widowControl/>
        <w:numPr>
          <w:ilvl w:val="0"/>
          <w:numId w:val="5"/>
        </w:numPr>
        <w:bidi w:val="0"/>
        <w:spacing w:lineRule="auto" w:line="240" w:before="0" w:after="0"/>
        <w:ind w:firstLine="510" w:left="113" w:right="113"/>
        <w:jc w:val="both"/>
        <w:rPr>
          <w:highlight w:val="none"/>
          <w:shd w:fill="auto" w:val="clear"/>
        </w:rPr>
      </w:pPr>
      <w:r>
        <w:rPr>
          <w:b w:val="false"/>
          <w:bCs w:val="false"/>
          <w:i w:val="false"/>
          <w:iCs w:val="false"/>
          <w:caps w:val="false"/>
          <w:smallCaps w:val="false"/>
          <w:color w:val="000000"/>
          <w:sz w:val="24"/>
          <w:szCs w:val="24"/>
          <w:shd w:fill="auto" w:val="clear"/>
        </w:rPr>
        <w:t xml:space="preserve">не предоставление Подрядчиком Заказчику информации о </w:t>
      </w:r>
      <w:r>
        <w:rPr>
          <w:b w:val="false"/>
          <w:bCs/>
          <w:i w:val="false"/>
          <w:iCs w:val="false"/>
          <w:caps w:val="false"/>
          <w:smallCaps w:val="false"/>
          <w:color w:val="000000"/>
          <w:sz w:val="24"/>
          <w:szCs w:val="24"/>
          <w:shd w:fill="auto" w:val="clear"/>
        </w:rPr>
        <w:t xml:space="preserve">наличии </w:t>
      </w:r>
      <w:r>
        <w:rPr>
          <w:b w:val="false"/>
          <w:bCs w:val="false"/>
          <w:i w:val="false"/>
          <w:iCs w:val="false"/>
          <w:caps w:val="false"/>
          <w:smallCaps w:val="false"/>
          <w:color w:val="000000"/>
          <w:sz w:val="24"/>
          <w:szCs w:val="24"/>
          <w:shd w:fill="auto" w:val="clear"/>
        </w:rPr>
        <w:t>необходимых для выполнения работ кадровых ресурсов (персонала), техники и материально-технических ресурсов и подтверждающих ее документов согласно п.2.3.24 Договора</w:t>
      </w:r>
      <w:r>
        <w:rPr>
          <w:bCs/>
          <w:iCs w:val="false"/>
          <w:sz w:val="24"/>
          <w:szCs w:val="24"/>
          <w:shd w:fill="auto" w:val="clear"/>
        </w:rPr>
        <w:t>.</w:t>
      </w:r>
    </w:p>
    <w:p>
      <w:pPr>
        <w:pStyle w:val="ListParagraph"/>
        <w:numPr>
          <w:ilvl w:val="1"/>
          <w:numId w:val="2"/>
        </w:numPr>
        <w:shd w:val="clear" w:color="auto" w:fill="FFFFFF"/>
        <w:tabs>
          <w:tab w:val="clear" w:pos="708"/>
          <w:tab w:val="left" w:pos="1134" w:leader="none"/>
        </w:tabs>
        <w:ind w:firstLine="709" w:left="0"/>
        <w:jc w:val="both"/>
        <w:rPr/>
      </w:pPr>
      <w:r>
        <w:rPr>
          <w:shd w:fill="auto" w:val="clear"/>
        </w:rPr>
        <w:t>В случае отказа Заказчика от Договора в случаях, предусмотренных пунктами 13.2, 13.3, 13.4 Договора, последний считается прекращенным (расторгнутым) со дня, следующего за днем получе</w:t>
      </w:r>
      <w:r>
        <w:rPr/>
        <w:t xml:space="preserve">ния Подрядчиком уведомления Заказчика об отказе от Договора (исполнения Договора). </w:t>
      </w:r>
    </w:p>
    <w:p>
      <w:pPr>
        <w:pStyle w:val="ListParagraph"/>
        <w:numPr>
          <w:ilvl w:val="1"/>
          <w:numId w:val="2"/>
        </w:numPr>
        <w:shd w:val="clear" w:color="auto" w:fill="FFFFFF"/>
        <w:tabs>
          <w:tab w:val="clear" w:pos="708"/>
          <w:tab w:val="left" w:pos="1134" w:leader="none"/>
        </w:tabs>
        <w:ind w:firstLine="709" w:left="0"/>
        <w:jc w:val="both"/>
        <w:rPr/>
      </w:pPr>
      <w:r>
        <w:rPr/>
        <w:t>С даты прекращения (расторжения) Договора Подрядчик обязан прекратить производство Работ, и в согласованные Сторонами сроки передать Заказчику Результат работ, техническую и иную полученную документацию.</w:t>
      </w:r>
    </w:p>
    <w:p>
      <w:pPr>
        <w:pStyle w:val="ListParagraph"/>
        <w:numPr>
          <w:ilvl w:val="1"/>
          <w:numId w:val="2"/>
        </w:numPr>
        <w:shd w:val="clear" w:color="auto" w:fill="FFFFFF"/>
        <w:tabs>
          <w:tab w:val="clear" w:pos="708"/>
          <w:tab w:val="left" w:pos="1134" w:leader="none"/>
        </w:tabs>
        <w:ind w:firstLine="709" w:left="0"/>
        <w:jc w:val="both"/>
        <w:rPr/>
      </w:pPr>
      <w:r>
        <w:rPr/>
        <w:t>При прекращении (расторжении) Договора по основаниям, указанным в настоящем разделе Договора, все обязательства Сторон по Договору считаются прекратившимися, за исключением обязательств по незавершенным расчетам, а также обязательств Подрядчика по возмещению неустойки (пени), штрафов и убытков в случаях и размерах, предусмотренных Договором.</w:t>
      </w:r>
    </w:p>
    <w:p>
      <w:pPr>
        <w:pStyle w:val="ListParagraph"/>
        <w:shd w:val="clear" w:color="auto" w:fill="FFFFFF"/>
        <w:tabs>
          <w:tab w:val="clear" w:pos="708"/>
          <w:tab w:val="left" w:pos="1134" w:leader="none"/>
        </w:tabs>
        <w:ind w:firstLine="709" w:left="709"/>
        <w:jc w:val="both"/>
        <w:rPr/>
      </w:pPr>
      <w:r>
        <w:rPr/>
      </w:r>
    </w:p>
    <w:p>
      <w:pPr>
        <w:pStyle w:val="ListParagraph"/>
        <w:numPr>
          <w:ilvl w:val="0"/>
          <w:numId w:val="2"/>
        </w:numPr>
        <w:shd w:val="clear" w:color="auto" w:fill="FFFFFF"/>
        <w:tabs>
          <w:tab w:val="clear" w:pos="708"/>
          <w:tab w:val="left" w:pos="426" w:leader="none"/>
        </w:tabs>
        <w:ind w:hanging="0" w:left="0"/>
        <w:jc w:val="center"/>
        <w:rPr>
          <w:bCs/>
        </w:rPr>
      </w:pPr>
      <w:r>
        <w:rPr>
          <w:b/>
          <w:bCs/>
        </w:rPr>
        <w:t>Разрешение споров</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Все споры, разногласия и требования, возникающие между Сторонами 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 xml:space="preserve">Споры, указанные в пункте 14.1 Договора, которые не были урегулированы Сторонами путем переговоров, подлежат разрешению в Арбитражном суде </w:t>
      </w:r>
      <w:r>
        <w:rPr>
          <w:bCs/>
          <w:highlight w:val="lightGray"/>
        </w:rPr>
        <w:t>г.Биробиджан, ЕАО</w:t>
      </w:r>
      <w:r>
        <w:rPr>
          <w:bCs/>
        </w:rPr>
        <w:t xml:space="preserve"> в соответствии с законодательством Российской Федерации.</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пунктом 15.7 Договора.</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Срок для рассмотрения претензии – 15 (пятнадцать) рабочих дней со дня 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с иском в суд.</w:t>
      </w:r>
    </w:p>
    <w:p>
      <w:pPr>
        <w:pStyle w:val="ListParagraph"/>
        <w:numPr>
          <w:ilvl w:val="1"/>
          <w:numId w:val="2"/>
        </w:numPr>
        <w:shd w:val="clear" w:color="auto" w:fill="FFFFFF"/>
        <w:tabs>
          <w:tab w:val="clear" w:pos="708"/>
          <w:tab w:val="left" w:pos="1134" w:leader="none"/>
          <w:tab w:val="left" w:pos="1418" w:leader="none"/>
        </w:tabs>
        <w:ind w:firstLine="709" w:left="0"/>
        <w:jc w:val="both"/>
        <w:rPr>
          <w:bCs/>
        </w:rPr>
      </w:pPr>
      <w:r>
        <w:rPr>
          <w:bCs/>
        </w:rPr>
        <w:t>Условия настоящего раздела Договора сохраняют свою силу в случае признания Договора незаключенным и / или недействительным.</w:t>
      </w:r>
    </w:p>
    <w:p>
      <w:pPr>
        <w:pStyle w:val="ListParagraph"/>
        <w:shd w:val="clear" w:color="auto" w:fill="FFFFFF"/>
        <w:tabs>
          <w:tab w:val="clear" w:pos="708"/>
          <w:tab w:val="left" w:pos="1418" w:leader="none"/>
        </w:tabs>
        <w:ind w:firstLine="709" w:left="0"/>
        <w:jc w:val="both"/>
        <w:rPr>
          <w:b/>
          <w:bCs/>
        </w:rPr>
      </w:pPr>
      <w:r>
        <w:rPr>
          <w:b/>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Заключительные положения</w:t>
      </w:r>
    </w:p>
    <w:p>
      <w:pPr>
        <w:pStyle w:val="ListParagraph"/>
        <w:numPr>
          <w:ilvl w:val="1"/>
          <w:numId w:val="2"/>
        </w:numPr>
        <w:shd w:val="clear" w:color="auto" w:fill="FFFFFF"/>
        <w:tabs>
          <w:tab w:val="clear" w:pos="708"/>
          <w:tab w:val="left" w:pos="1134" w:leader="none"/>
        </w:tabs>
        <w:ind w:firstLine="709" w:left="0"/>
        <w:jc w:val="both"/>
        <w:rPr/>
      </w:pPr>
      <w:r>
        <w:rPr/>
        <w:t xml:space="preserve">Договор вступает в силу с даты его подписания Сторонами и действует до полного исполнения ими принятых на себя обязательств. </w:t>
      </w:r>
      <w:r>
        <w:rPr>
          <w:highlight w:val="lightGray"/>
        </w:rPr>
        <w:t>В соответствии с пунктом 2 статьи 425 ГК РФ условия Договора применяются к отношениям Сторон, возникшим с __________</w:t>
      </w:r>
      <w:r>
        <w:rPr/>
        <w:t>.</w:t>
      </w:r>
    </w:p>
    <w:p>
      <w:pPr>
        <w:pStyle w:val="ListParagraph"/>
        <w:shd w:val="clear" w:color="auto" w:fill="FFFFFF"/>
        <w:tabs>
          <w:tab w:val="clear" w:pos="708"/>
          <w:tab w:val="left" w:pos="1134" w:leader="none"/>
        </w:tabs>
        <w:ind w:firstLine="709" w:left="0"/>
        <w:jc w:val="both"/>
        <w:rPr>
          <w:highlight w:val="lightGray"/>
        </w:rPr>
      </w:pPr>
      <w:r>
        <w:rPr>
          <w:highlight w:val="lightGray"/>
        </w:rPr>
        <w:t xml:space="preserve">Договор заключается в электронной форме с использованием программно-аппаратных средств информационной системы электронного документооборота общего пользования путем его подписания усиленными квалифицированными электронными подписями (далее – УКЭП) уполномоченных представителей Сторон. </w:t>
      </w:r>
    </w:p>
    <w:p>
      <w:pPr>
        <w:pStyle w:val="ListParagraph"/>
        <w:shd w:val="clear" w:color="auto" w:fill="FFFFFF"/>
        <w:tabs>
          <w:tab w:val="clear" w:pos="708"/>
          <w:tab w:val="left" w:pos="1134" w:leader="none"/>
        </w:tabs>
        <w:ind w:firstLine="709" w:left="0"/>
        <w:jc w:val="both"/>
        <w:rPr/>
      </w:pPr>
      <w:r>
        <w:rPr>
          <w:highlight w:val="lightGray"/>
        </w:rPr>
        <w:t xml:space="preserve">Договор, подписанный с использованием УКЭП, признается электронным документом, равнозначным документу на бумажном носителе, подписанным собственноручными подписями уполномоченных представителей Сторон. </w:t>
      </w:r>
      <w:r>
        <w:rPr>
          <w:rStyle w:val="FootnoteReference"/>
          <w:highlight w:val="lightGray"/>
        </w:rPr>
        <w:footnoteReference w:id="15"/>
      </w:r>
    </w:p>
    <w:p>
      <w:pPr>
        <w:pStyle w:val="ListParagraph"/>
        <w:numPr>
          <w:ilvl w:val="1"/>
          <w:numId w:val="2"/>
        </w:numPr>
        <w:shd w:val="clear" w:color="auto" w:fill="FFFFFF"/>
        <w:tabs>
          <w:tab w:val="clear" w:pos="708"/>
          <w:tab w:val="left" w:pos="1134" w:leader="none"/>
        </w:tabs>
        <w:ind w:firstLine="709" w:left="0"/>
        <w:jc w:val="both"/>
        <w:rPr/>
      </w:pPr>
      <w:r>
        <w:rPr/>
        <w:t xml:space="preserve">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пунктом 15.6 Договора. </w:t>
      </w:r>
    </w:p>
    <w:p>
      <w:pPr>
        <w:pStyle w:val="ListParagraph"/>
        <w:numPr>
          <w:ilvl w:val="1"/>
          <w:numId w:val="2"/>
        </w:numPr>
        <w:shd w:val="clear" w:color="auto" w:fill="FFFFFF"/>
        <w:tabs>
          <w:tab w:val="clear" w:pos="708"/>
          <w:tab w:val="left" w:pos="1134" w:leader="none"/>
        </w:tabs>
        <w:ind w:firstLine="709" w:left="0"/>
        <w:jc w:val="both"/>
        <w:rPr/>
      </w:pPr>
      <w:r>
        <w:rPr/>
        <w:t>Все приложения к Договору, а также любые изменения и дополнения, оформленные надлежащим образом, являются неотъемлемой частью Договора.</w:t>
      </w:r>
    </w:p>
    <w:p>
      <w:pPr>
        <w:pStyle w:val="ListParagraph"/>
        <w:numPr>
          <w:ilvl w:val="1"/>
          <w:numId w:val="2"/>
        </w:numPr>
        <w:shd w:val="clear" w:color="auto" w:fill="FFFFFF"/>
        <w:tabs>
          <w:tab w:val="clear" w:pos="708"/>
          <w:tab w:val="left" w:pos="1134" w:leader="none"/>
        </w:tabs>
        <w:ind w:firstLine="709" w:left="0"/>
        <w:jc w:val="both"/>
        <w:rPr/>
      </w:pPr>
      <w:r>
        <w:rPr/>
        <w:t>В случае наличия любых расхождений между содержанием Договора и приложений к нему, приоритет имеет текст Договора.</w:t>
      </w:r>
    </w:p>
    <w:p>
      <w:pPr>
        <w:pStyle w:val="ListParagraph"/>
        <w:numPr>
          <w:ilvl w:val="1"/>
          <w:numId w:val="2"/>
        </w:numPr>
        <w:shd w:val="clear" w:color="auto" w:fill="FFFFFF"/>
        <w:tabs>
          <w:tab w:val="clear" w:pos="708"/>
          <w:tab w:val="left" w:pos="1134" w:leader="none"/>
        </w:tabs>
        <w:ind w:firstLine="709" w:left="0"/>
        <w:jc w:val="both"/>
        <w:rPr/>
      </w:pPr>
      <w:r>
        <w:rPr/>
        <w:t xml:space="preserve">Обмен информацией между Сторонами по любым вопросам, связанным с исполнением Договора, включая уведомления и иные сообщения, осуществляется только в письменной </w:t>
      </w:r>
      <w:r>
        <w:rPr>
          <w:shd w:fill="auto" w:val="clear"/>
        </w:rPr>
        <w:t>форме в порядке, предусмотренном пунктом 15.7 Договора. Использование средств электронной связи не допускается, за исключением случаев оперативного обмена информацией, которая не влечет возникновени</w:t>
      </w:r>
      <w:r>
        <w:rPr/>
        <w:t>я, изменения либо прекращения гражданских прав и обязанностей Стороны.</w:t>
      </w:r>
    </w:p>
    <w:p>
      <w:pPr>
        <w:pStyle w:val="ListParagraph"/>
        <w:numPr>
          <w:ilvl w:val="1"/>
          <w:numId w:val="2"/>
        </w:numPr>
        <w:shd w:val="clear" w:color="auto" w:fill="FFFFFF"/>
        <w:tabs>
          <w:tab w:val="clear" w:pos="708"/>
          <w:tab w:val="left" w:pos="1134" w:leader="none"/>
        </w:tabs>
        <w:ind w:firstLine="709" w:left="0"/>
        <w:jc w:val="both"/>
        <w:rPr/>
      </w:pPr>
      <w:bookmarkStart w:id="32" w:name="_Ref361338004"/>
      <w:r>
        <w:rPr/>
        <w:t>Стороны обязуются уведомлять друг друга об изменении адреса и / или реквизитов, указанных в разделе 17 Договора, не позднее 3 (трех) рабочих дней после такого изменения в порядке, установленном пунктом 15.7 Договора.</w:t>
      </w:r>
      <w:bookmarkEnd w:id="32"/>
      <w:r>
        <w:rPr/>
        <w:t xml:space="preserve"> </w:t>
      </w:r>
    </w:p>
    <w:p>
      <w:pPr>
        <w:pStyle w:val="ListParagraph"/>
        <w:numPr>
          <w:ilvl w:val="1"/>
          <w:numId w:val="2"/>
        </w:numPr>
        <w:shd w:val="clear" w:color="auto" w:fill="FFFFFF"/>
        <w:tabs>
          <w:tab w:val="clear" w:pos="708"/>
          <w:tab w:val="left" w:pos="1134" w:leader="none"/>
        </w:tabs>
        <w:ind w:firstLine="709" w:left="0"/>
        <w:jc w:val="both"/>
        <w:rPr>
          <w:bCs/>
        </w:rPr>
      </w:pPr>
      <w:bookmarkStart w:id="33" w:name="_Ref361338019"/>
      <w:r>
        <w:rPr/>
        <w:t>Письма, уведомления и / или сообщения направляются Стороне-получателю по адресу ее места нахождения, указанному в разделе 17 Договора, или в ранее полученном уведомлении Стороны об изменении адреса, одним из следующих способов, при этом документ</w:t>
      </w:r>
      <w:bookmarkEnd w:id="33"/>
      <w:r>
        <w:rPr>
          <w:bCs/>
        </w:rPr>
        <w:t xml:space="preserve"> будет считаться полученным:</w:t>
      </w:r>
    </w:p>
    <w:p>
      <w:pPr>
        <w:pStyle w:val="ListParagraph"/>
        <w:numPr>
          <w:ilvl w:val="2"/>
          <w:numId w:val="2"/>
        </w:numPr>
        <w:shd w:val="clear" w:color="auto" w:fill="FFFFFF"/>
        <w:tabs>
          <w:tab w:val="clear" w:pos="708"/>
          <w:tab w:val="left" w:pos="1701" w:leader="none"/>
        </w:tabs>
        <w:ind w:firstLine="709" w:left="0"/>
        <w:jc w:val="both"/>
        <w:rPr>
          <w:bCs/>
        </w:rPr>
      </w:pPr>
      <w:r>
        <w:rPr>
          <w:bCs/>
        </w:rPr>
        <w:t xml:space="preserve">Заказным почтовым отправлением с уведомлением о вручении – </w:t>
      </w:r>
      <w:r>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Pr>
          <w:bCs/>
        </w:rPr>
        <w:t>;</w:t>
      </w:r>
    </w:p>
    <w:p>
      <w:pPr>
        <w:pStyle w:val="ListParagraph"/>
        <w:numPr>
          <w:ilvl w:val="2"/>
          <w:numId w:val="2"/>
        </w:numPr>
        <w:shd w:val="clear" w:color="auto" w:fill="FFFFFF"/>
        <w:tabs>
          <w:tab w:val="clear" w:pos="708"/>
          <w:tab w:val="left" w:pos="1701" w:leader="none"/>
        </w:tabs>
        <w:ind w:firstLine="709" w:left="0"/>
        <w:jc w:val="both"/>
        <w:rPr>
          <w:bCs/>
        </w:rPr>
      </w:pPr>
      <w:bookmarkStart w:id="34" w:name="_Ref361338032"/>
      <w:bookmarkEnd w:id="34"/>
      <w:r>
        <w:rPr>
          <w:bCs/>
        </w:rPr>
        <w:t>Доставкой лично или курьером Стороны-отправителя – в дату и время фактического приема уведомления Стороной-получателем с отметкой о получении;</w:t>
      </w:r>
    </w:p>
    <w:p>
      <w:pPr>
        <w:pStyle w:val="ListParagraph"/>
        <w:numPr>
          <w:ilvl w:val="2"/>
          <w:numId w:val="2"/>
        </w:numPr>
        <w:shd w:val="clear" w:color="auto" w:fill="FFFFFF"/>
        <w:tabs>
          <w:tab w:val="clear" w:pos="708"/>
          <w:tab w:val="left" w:pos="1701" w:leader="none"/>
        </w:tabs>
        <w:ind w:firstLine="709" w:left="0"/>
        <w:jc w:val="both"/>
        <w:rPr>
          <w:bCs/>
        </w:rPr>
      </w:pPr>
      <w:r>
        <w:rPr>
          <w:bCs/>
        </w:rPr>
        <w:t>Посредством электронной почты (</w:t>
      </w:r>
      <w:r>
        <w:rPr>
          <w:bCs/>
          <w:lang w:val="en-US"/>
        </w:rPr>
        <w:t>e</w:t>
      </w:r>
      <w:r>
        <w:rPr>
          <w:bCs/>
        </w:rPr>
        <w:t>-</w:t>
      </w:r>
      <w:r>
        <w:rPr>
          <w:bCs/>
          <w:lang w:val="en-US"/>
        </w:rPr>
        <w:t>mail</w:t>
      </w:r>
      <w:r>
        <w:rPr>
          <w:bCs/>
        </w:rPr>
        <w:t xml:space="preserve">) – в дату направления электронного сообщения, зафиксированную на почтовом сервере отправителя. </w:t>
      </w:r>
    </w:p>
    <w:p>
      <w:pPr>
        <w:pStyle w:val="ListParagraph"/>
        <w:shd w:val="clear" w:color="auto" w:fill="FFFFFF"/>
        <w:tabs>
          <w:tab w:val="clear" w:pos="708"/>
          <w:tab w:val="left" w:pos="1701" w:leader="none"/>
        </w:tabs>
        <w:ind w:firstLine="709" w:left="0"/>
        <w:jc w:val="both"/>
        <w:rPr>
          <w:bCs/>
        </w:rPr>
      </w:pPr>
      <w:r>
        <w:rPr>
          <w:bCs/>
        </w:rPr>
        <w:t>Оригиналы до</w:t>
      </w:r>
      <w:r>
        <w:rPr>
          <w:bCs/>
          <w:shd w:fill="auto" w:val="clear"/>
        </w:rPr>
        <w:t>кументов, направленные посредством электронной почты,  должны не</w:t>
      </w:r>
      <w:r>
        <w:rPr>
          <w:bCs/>
        </w:rPr>
        <w:t xml:space="preserve"> позднее следующего рабочего дня быть направлены Стороной-отправителем способами, указанными в пунктах 15.7.1-15.7.2 Договора. </w:t>
      </w:r>
    </w:p>
    <w:p>
      <w:pPr>
        <w:pStyle w:val="ListParagraph"/>
        <w:shd w:val="clear" w:color="auto" w:fill="FFFFFF"/>
        <w:tabs>
          <w:tab w:val="clear" w:pos="708"/>
          <w:tab w:val="left" w:pos="0" w:leader="none"/>
          <w:tab w:val="left" w:pos="1134" w:leader="none"/>
          <w:tab w:val="left" w:pos="1418" w:leader="none"/>
          <w:tab w:val="left" w:pos="1701" w:leader="none"/>
        </w:tabs>
        <w:ind w:firstLine="709" w:left="0"/>
        <w:jc w:val="both"/>
        <w:rPr>
          <w:bCs/>
          <w:iCs/>
          <w:color w:val="000000"/>
        </w:rPr>
      </w:pPr>
      <w:r>
        <w:rPr>
          <w:bCs/>
        </w:rPr>
        <w:t xml:space="preserve">В случае заключения Соглашения, согласно которому </w:t>
      </w:r>
      <w:r>
        <w:rPr/>
        <w:t xml:space="preserve">обмен документами / информацией между сторонами осуществляется в электронной форме через операторов электронного документооборота, </w:t>
      </w:r>
      <w:r>
        <w:rPr>
          <w:bCs/>
          <w:iCs/>
          <w:color w:val="000000"/>
        </w:rPr>
        <w:t>определение порядка и условий взаимодействия Сторон в процессе обмена документами в электронной форме во исполнение своих обязательств по настоящему Договору устанавливается таким Соглашением.</w:t>
      </w:r>
    </w:p>
    <w:p>
      <w:pPr>
        <w:pStyle w:val="Normal"/>
        <w:numPr>
          <w:ilvl w:val="1"/>
          <w:numId w:val="2"/>
        </w:numPr>
        <w:spacing w:lineRule="auto" w:line="240"/>
        <w:ind w:firstLine="709" w:left="0"/>
        <w:rPr>
          <w:bCs/>
          <w:sz w:val="24"/>
          <w:szCs w:val="24"/>
        </w:rPr>
      </w:pPr>
      <w:r>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pPr>
        <w:pStyle w:val="ListParagraph"/>
        <w:numPr>
          <w:ilvl w:val="1"/>
          <w:numId w:val="2"/>
        </w:numPr>
        <w:shd w:val="clear" w:color="auto" w:fill="FFFFFF"/>
        <w:tabs>
          <w:tab w:val="clear" w:pos="708"/>
          <w:tab w:val="left" w:pos="568" w:leader="none"/>
        </w:tabs>
        <w:ind w:firstLine="709" w:left="0"/>
        <w:jc w:val="both"/>
        <w:rPr>
          <w:bCs/>
        </w:rPr>
      </w:pPr>
      <w:r>
        <w:rPr/>
        <w:t>Уступка (передача), в том числе в залог, прав (требований) к Заказчику по денежным обязательствам, принадлежащих Подрядчику на основании Договора, допускается только с предварительного письменного согласия Заказчика и оформляется трехсторонним договором</w:t>
      </w:r>
      <w:r>
        <w:rPr>
          <w:bCs/>
        </w:rPr>
        <w:t>.</w:t>
      </w:r>
      <w:r>
        <w:rPr/>
        <w:t xml:space="preserve"> </w:t>
      </w:r>
    </w:p>
    <w:p>
      <w:pPr>
        <w:pStyle w:val="ListParagraph"/>
        <w:numPr>
          <w:ilvl w:val="1"/>
          <w:numId w:val="2"/>
        </w:numPr>
        <w:shd w:val="clear" w:color="auto" w:fill="FFFFFF"/>
        <w:tabs>
          <w:tab w:val="clear" w:pos="708"/>
          <w:tab w:val="left" w:pos="1134" w:leader="none"/>
        </w:tabs>
        <w:ind w:firstLine="709" w:left="0"/>
        <w:jc w:val="both"/>
        <w:rPr/>
      </w:pPr>
      <w:r>
        <w:rPr/>
        <w:t xml:space="preserve">Во всем остальном, что не урегулировано Договором, Стороны руководствуются законодательством Российской Федерации. </w:t>
      </w:r>
    </w:p>
    <w:p>
      <w:pPr>
        <w:pStyle w:val="ListParagraph"/>
        <w:numPr>
          <w:ilvl w:val="1"/>
          <w:numId w:val="2"/>
        </w:numPr>
        <w:shd w:val="clear" w:color="auto" w:fill="FFFFFF"/>
        <w:tabs>
          <w:tab w:val="clear" w:pos="708"/>
          <w:tab w:val="left" w:pos="1134" w:leader="none"/>
        </w:tabs>
        <w:ind w:firstLine="709" w:left="0"/>
        <w:jc w:val="both"/>
        <w:rPr/>
      </w:pPr>
      <w:r>
        <w:rPr/>
        <w:t>Договор составлен в 2 (двух) оригинальных экземплярах, имеющих равную юридическую силу, по 1 (одному) для каждой из Сторон</w:t>
      </w:r>
      <w:r>
        <w:rPr>
          <w:rStyle w:val="FootnoteReference"/>
        </w:rPr>
        <w:footnoteReference w:id="16"/>
      </w:r>
      <w:r>
        <w:rPr>
          <w:highlight w:val="lightGray"/>
        </w:rPr>
        <w:t>.</w:t>
      </w:r>
    </w:p>
    <w:p>
      <w:pPr>
        <w:pStyle w:val="ListParagraph"/>
        <w:numPr>
          <w:ilvl w:val="1"/>
          <w:numId w:val="2"/>
        </w:numPr>
        <w:shd w:val="clear" w:color="auto" w:fill="FFFFFF"/>
        <w:tabs>
          <w:tab w:val="clear" w:pos="708"/>
          <w:tab w:val="left" w:pos="0" w:leader="none"/>
          <w:tab w:val="left" w:pos="709" w:leader="none"/>
          <w:tab w:val="left" w:pos="851" w:leader="none"/>
          <w:tab w:val="left" w:pos="993" w:leader="none"/>
          <w:tab w:val="left" w:pos="1134" w:leader="none"/>
          <w:tab w:val="left" w:pos="1701" w:leader="none"/>
          <w:tab w:val="left" w:pos="2130" w:leader="none"/>
        </w:tabs>
        <w:ind w:firstLine="709" w:left="0"/>
        <w:jc w:val="both"/>
        <w:rPr/>
      </w:pPr>
      <w:r>
        <w:rPr/>
        <w:t xml:space="preserve">Со стороны Заказчика контроль и исполнение обязательств 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________,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pPr>
        <w:pStyle w:val="Normal"/>
        <w:widowControl w:val="false"/>
        <w:tabs>
          <w:tab w:val="clear" w:pos="708"/>
          <w:tab w:val="left" w:pos="993" w:leader="none"/>
        </w:tabs>
        <w:spacing w:lineRule="auto" w:line="240"/>
        <w:ind w:firstLine="709" w:right="-2"/>
        <w:rPr>
          <w:bCs/>
          <w:iCs/>
          <w:sz w:val="24"/>
        </w:rPr>
      </w:pPr>
      <w:r>
        <w:rPr>
          <w:bCs/>
          <w:iCs/>
          <w:sz w:val="24"/>
        </w:rPr>
        <w:t>АО «ДРСК» в течение двух рабочих дней с момента заключения договора направляет в адрес стороны по договору информацию о контактных данных и ФИО ответственного исполнителя по договору со стороны АО «ДРСК»/филиала АО «ДРСК».</w:t>
      </w:r>
    </w:p>
    <w:p>
      <w:pPr>
        <w:pStyle w:val="Normal"/>
        <w:shd w:val="clear" w:color="auto" w:fill="FFFFFF"/>
        <w:tabs>
          <w:tab w:val="clear" w:pos="708"/>
          <w:tab w:val="left" w:pos="1134" w:leader="none"/>
        </w:tabs>
        <w:spacing w:lineRule="auto" w:line="240"/>
        <w:ind w:firstLine="709"/>
        <w:rPr>
          <w:bCs/>
          <w:iCs/>
          <w:sz w:val="24"/>
        </w:rPr>
      </w:pPr>
      <w:r>
        <w:rPr>
          <w:bCs/>
          <w:iCs/>
          <w:sz w:val="24"/>
        </w:rPr>
        <w:t>Любая переписка, а также документы по исполнению договора (акты, счета-фактуры, УПД и т.п.), оформляемые на бумажном носителе, направляются контрагентом в адрес АО «ДРСК» с сопроводительным письмом, с указанием контактных данных и ФИО ответственного исполнителя по договору со стороны АО «ДРСК»/филиала АО «ДРСК». В случае отсутствия контактной информации поступившие документы не считаются поступившими в АО «ДРСК»/филиал АО «ДРСК.</w:t>
      </w:r>
    </w:p>
    <w:p>
      <w:pPr>
        <w:pStyle w:val="ListParagraph"/>
        <w:shd w:val="clear" w:color="auto" w:fill="FFFFFF"/>
        <w:ind w:firstLine="709" w:left="0"/>
        <w:rPr>
          <w:bCs/>
        </w:rPr>
      </w:pPr>
      <w:r>
        <w:rPr>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Список приложений</w:t>
      </w:r>
    </w:p>
    <w:p>
      <w:pPr>
        <w:pStyle w:val="ListParagraph"/>
        <w:shd w:val="clear" w:color="auto" w:fill="FFFFFF"/>
        <w:ind w:firstLine="709" w:left="0"/>
        <w:jc w:val="both"/>
        <w:rPr>
          <w:bCs/>
        </w:rPr>
      </w:pPr>
      <w:r>
        <w:rPr/>
        <w:t xml:space="preserve">Приложение № </w:t>
      </w:r>
      <w:r>
        <w:rPr>
          <w:bCs/>
        </w:rPr>
        <w:t>1 – Техническое задание;</w:t>
      </w:r>
    </w:p>
    <w:p>
      <w:pPr>
        <w:pStyle w:val="ListParagraph"/>
        <w:shd w:val="clear" w:color="auto" w:fill="FFFFFF"/>
        <w:ind w:firstLine="709" w:left="0"/>
        <w:jc w:val="both"/>
        <w:rPr>
          <w:bCs/>
        </w:rPr>
      </w:pPr>
      <w:r>
        <w:rPr>
          <w:bCs/>
        </w:rPr>
        <w:t>Приложение № 2 – Сводная смета с приложениями;</w:t>
      </w:r>
    </w:p>
    <w:p>
      <w:pPr>
        <w:pStyle w:val="ListParagraph"/>
        <w:shd w:val="clear" w:color="auto" w:fill="FFFFFF"/>
        <w:ind w:firstLine="709" w:left="0"/>
        <w:jc w:val="both"/>
        <w:rPr>
          <w:bCs/>
        </w:rPr>
      </w:pPr>
      <w:r>
        <w:rPr>
          <w:bCs/>
        </w:rPr>
        <w:t>Приложение № 3 – Форма Акта сдачи-приемки технической и иной документации;</w:t>
      </w:r>
    </w:p>
    <w:p>
      <w:pPr>
        <w:pStyle w:val="ListParagraph"/>
        <w:shd w:val="clear" w:color="auto" w:fill="FFFFFF"/>
        <w:ind w:firstLine="709" w:left="0"/>
        <w:jc w:val="both"/>
        <w:rPr>
          <w:bCs/>
        </w:rPr>
      </w:pPr>
      <w:r>
        <w:rPr>
          <w:bCs/>
        </w:rPr>
        <w:t xml:space="preserve">Приложение № 4 – Перечень допусков, разрешений и лицензий Подрядчика; </w:t>
      </w:r>
    </w:p>
    <w:p>
      <w:pPr>
        <w:pStyle w:val="ListParagraph"/>
        <w:shd w:val="clear" w:color="auto" w:fill="FFFFFF"/>
        <w:ind w:firstLine="709" w:left="0"/>
        <w:jc w:val="both"/>
        <w:rPr>
          <w:bCs/>
        </w:rPr>
      </w:pPr>
      <w:r>
        <w:rPr>
          <w:bCs/>
        </w:rPr>
        <w:t>Приложение № 5 – Размер ответственности Подрядчика за нарушения пропускного и внутриобъектового режима, требований охраны труда, пожарной и промышленной безопасности;</w:t>
      </w:r>
    </w:p>
    <w:p>
      <w:pPr>
        <w:pStyle w:val="ListParagraph"/>
        <w:shd w:val="clear" w:color="auto" w:fill="FFFFFF"/>
        <w:ind w:firstLine="709" w:left="0"/>
        <w:jc w:val="both"/>
        <w:rPr>
          <w:bCs/>
        </w:rPr>
      </w:pPr>
      <w:r>
        <w:rPr>
          <w:bCs/>
        </w:rPr>
        <w:t>Приложение № 6 – Форма Акта сдачи-приемки выполненных работ;</w:t>
      </w:r>
    </w:p>
    <w:p>
      <w:pPr>
        <w:pStyle w:val="ListParagraph"/>
        <w:shd w:val="clear" w:color="auto" w:fill="FFFFFF"/>
        <w:ind w:firstLine="709" w:left="0"/>
        <w:jc w:val="both"/>
        <w:rPr>
          <w:bCs/>
        </w:rPr>
      </w:pPr>
      <w:r>
        <w:rPr>
          <w:bCs/>
          <w:highlight w:val="lightGray"/>
        </w:rPr>
        <w:t>Приложение № 7 – Форма справки</w:t>
      </w:r>
      <w:r>
        <w:rPr>
          <w:b/>
          <w:bCs/>
          <w:color w:val="000000"/>
          <w:highlight w:val="lightGray"/>
        </w:rPr>
        <w:t xml:space="preserve"> </w:t>
      </w:r>
      <w:r>
        <w:rPr>
          <w:bCs/>
          <w:highlight w:val="lightGray"/>
        </w:rPr>
        <w:t>о заключенных договорах Подрядчика по договору с Субподрядчиками</w:t>
      </w:r>
      <w:r>
        <w:rPr>
          <w:bCs/>
        </w:rPr>
        <w:t>.</w:t>
      </w:r>
    </w:p>
    <w:p>
      <w:pPr>
        <w:pStyle w:val="ListParagraph"/>
        <w:shd w:val="clear" w:color="auto" w:fill="FFFFFF"/>
        <w:ind w:firstLine="709" w:left="0"/>
        <w:jc w:val="both"/>
        <w:rPr>
          <w:bCs/>
        </w:rPr>
      </w:pPr>
      <w:r>
        <w:rPr>
          <w:bCs/>
        </w:rPr>
      </w:r>
    </w:p>
    <w:p>
      <w:pPr>
        <w:pStyle w:val="ListParagraph"/>
        <w:shd w:val="clear" w:color="auto" w:fill="FFFFFF"/>
        <w:ind w:firstLine="709" w:left="0"/>
        <w:jc w:val="both"/>
        <w:rPr>
          <w:bCs/>
        </w:rPr>
      </w:pPr>
      <w:r>
        <w:rPr>
          <w:bCs/>
        </w:rPr>
      </w:r>
    </w:p>
    <w:p>
      <w:pPr>
        <w:pStyle w:val="ListParagraph"/>
        <w:numPr>
          <w:ilvl w:val="0"/>
          <w:numId w:val="2"/>
        </w:numPr>
        <w:shd w:val="clear" w:color="auto" w:fill="FFFFFF"/>
        <w:tabs>
          <w:tab w:val="clear" w:pos="708"/>
          <w:tab w:val="left" w:pos="426" w:leader="none"/>
        </w:tabs>
        <w:ind w:hanging="0" w:left="0"/>
        <w:jc w:val="center"/>
        <w:rPr>
          <w:b/>
          <w:bCs/>
        </w:rPr>
      </w:pPr>
      <w:r>
        <w:rPr>
          <w:b/>
          <w:bCs/>
        </w:rPr>
        <w:t>Адреса и платежные реквизиты Сторон</w:t>
      </w:r>
    </w:p>
    <w:p>
      <w:pPr>
        <w:pStyle w:val="ListParagraph"/>
        <w:shd w:val="clear" w:color="auto" w:fill="FFFFFF"/>
        <w:tabs>
          <w:tab w:val="clear" w:pos="708"/>
          <w:tab w:val="left" w:pos="426" w:leader="none"/>
        </w:tabs>
        <w:ind w:firstLine="709" w:left="0"/>
        <w:rPr>
          <w:b/>
          <w:bCs/>
        </w:rPr>
      </w:pPr>
      <w:r>
        <w:rPr>
          <w:b/>
          <w:bCs/>
        </w:rPr>
      </w:r>
    </w:p>
    <w:tbl>
      <w:tblPr>
        <w:tblW w:w="9639" w:type="dxa"/>
        <w:jc w:val="left"/>
        <w:tblInd w:w="0" w:type="dxa"/>
        <w:tblLayout w:type="fixed"/>
        <w:tblCellMar>
          <w:top w:w="0" w:type="dxa"/>
          <w:left w:w="108" w:type="dxa"/>
          <w:bottom w:w="0" w:type="dxa"/>
          <w:right w:w="108" w:type="dxa"/>
        </w:tblCellMar>
        <w:tblLook w:val="01e0" w:noHBand="0" w:noVBand="0" w:firstColumn="1" w:lastRow="1" w:lastColumn="1" w:firstRow="1"/>
      </w:tblPr>
      <w:tblGrid>
        <w:gridCol w:w="4779"/>
        <w:gridCol w:w="149"/>
        <w:gridCol w:w="4630"/>
        <w:gridCol w:w="81"/>
      </w:tblGrid>
      <w:tr>
        <w:trPr/>
        <w:tc>
          <w:tcPr>
            <w:tcW w:w="4928" w:type="dxa"/>
            <w:gridSpan w:val="2"/>
            <w:tcBorders/>
            <w:shd w:fill="auto" w:val="clear"/>
          </w:tcPr>
          <w:p>
            <w:pPr>
              <w:pStyle w:val="Normal"/>
              <w:widowControl w:val="false"/>
              <w:spacing w:lineRule="auto" w:line="240"/>
              <w:ind w:hanging="0"/>
              <w:rPr>
                <w:sz w:val="24"/>
                <w:szCs w:val="24"/>
              </w:rPr>
            </w:pPr>
            <w:r>
              <w:rPr>
                <w:sz w:val="24"/>
                <w:szCs w:val="24"/>
              </w:rPr>
              <w:t>ЗАКАЗЧИК:</w:t>
            </w:r>
          </w:p>
        </w:tc>
        <w:tc>
          <w:tcPr>
            <w:tcW w:w="4711" w:type="dxa"/>
            <w:gridSpan w:val="2"/>
            <w:tcBorders/>
            <w:shd w:fill="auto" w:val="clear"/>
          </w:tcPr>
          <w:p>
            <w:pPr>
              <w:pStyle w:val="Normal"/>
              <w:widowControl w:val="false"/>
              <w:spacing w:lineRule="auto" w:line="240"/>
              <w:ind w:hanging="0"/>
              <w:rPr>
                <w:sz w:val="24"/>
                <w:szCs w:val="24"/>
              </w:rPr>
            </w:pPr>
            <w:r>
              <w:rPr>
                <w:sz w:val="24"/>
                <w:szCs w:val="24"/>
              </w:rPr>
              <w:t>ПОДРЯДЧИК:</w:t>
            </w:r>
          </w:p>
        </w:tc>
      </w:tr>
      <w:tr>
        <w:trPr/>
        <w:tc>
          <w:tcPr>
            <w:tcW w:w="4928" w:type="dxa"/>
            <w:gridSpan w:val="2"/>
            <w:tcBorders/>
            <w:shd w:color="auto" w:fill="BFBFBF" w:themeFill="background1" w:themeFillShade="bf" w:val="clear"/>
          </w:tcPr>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jc w:val="left"/>
              <w:rPr>
                <w:b/>
                <w:sz w:val="24"/>
                <w:szCs w:val="24"/>
                <w:highlight w:val="lightGray"/>
              </w:rPr>
            </w:pPr>
            <w:r>
              <w:rPr>
                <w:b/>
                <w:sz w:val="24"/>
                <w:szCs w:val="24"/>
                <w:highlight w:val="lightGray"/>
              </w:rPr>
              <w:t>Акционерное общество</w:t>
            </w:r>
          </w:p>
          <w:p>
            <w:pPr>
              <w:pStyle w:val="Normal"/>
              <w:widowControl w:val="false"/>
              <w:spacing w:lineRule="auto" w:line="240"/>
              <w:ind w:hanging="0"/>
              <w:jc w:val="left"/>
              <w:rPr>
                <w:b/>
                <w:sz w:val="24"/>
                <w:szCs w:val="24"/>
              </w:rPr>
            </w:pPr>
            <w:r>
              <w:rPr>
                <w:b/>
                <w:sz w:val="24"/>
                <w:szCs w:val="24"/>
                <w:highlight w:val="lightGray"/>
              </w:rPr>
              <w:t>«Дальневосточная распределительная</w:t>
            </w:r>
            <w:r>
              <w:rPr>
                <w:b/>
                <w:sz w:val="24"/>
                <w:szCs w:val="24"/>
              </w:rPr>
              <w:t xml:space="preserve"> сетевая компания» (АО «ДРСК»)</w:t>
            </w:r>
          </w:p>
          <w:p>
            <w:pPr>
              <w:pStyle w:val="Normal"/>
              <w:widowControl w:val="false"/>
              <w:spacing w:lineRule="auto" w:line="240"/>
              <w:ind w:hanging="0"/>
              <w:jc w:val="left"/>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 xml:space="preserve"> </w:t>
            </w:r>
            <w:r>
              <w:rPr>
                <w:sz w:val="24"/>
                <w:szCs w:val="24"/>
              </w:rPr>
              <w:t>(номер расчетного счета)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(наименование банка, в котором</w:t>
            </w:r>
          </w:p>
          <w:p>
            <w:pPr>
              <w:pStyle w:val="Normal"/>
              <w:widowControl w:val="false"/>
              <w:spacing w:lineRule="auto" w:line="240"/>
              <w:ind w:hanging="0"/>
              <w:jc w:val="left"/>
              <w:rPr>
                <w:sz w:val="24"/>
                <w:szCs w:val="24"/>
              </w:rPr>
            </w:pPr>
            <w:r>
              <w:rPr>
                <w:sz w:val="24"/>
                <w:szCs w:val="24"/>
              </w:rPr>
              <w:t>открыт расчетный счет)</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корреспондентского счета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(БИК банка)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телефона)</w:t>
            </w:r>
          </w:p>
          <w:p>
            <w:pPr>
              <w:pStyle w:val="Normal"/>
              <w:widowControl w:val="false"/>
              <w:spacing w:lineRule="auto" w:line="240"/>
              <w:ind w:hanging="0"/>
              <w:jc w:val="left"/>
              <w:rPr>
                <w:sz w:val="24"/>
                <w:szCs w:val="24"/>
              </w:rPr>
            </w:pPr>
            <w:r>
              <w:rPr>
                <w:sz w:val="24"/>
                <w:szCs w:val="24"/>
              </w:rPr>
              <w:t>_________________________________</w:t>
            </w:r>
          </w:p>
          <w:p>
            <w:pPr>
              <w:pStyle w:val="Normal"/>
              <w:widowControl w:val="false"/>
              <w:spacing w:lineRule="auto" w:line="240"/>
              <w:ind w:hanging="0"/>
              <w:jc w:val="left"/>
              <w:rPr>
                <w:sz w:val="24"/>
                <w:szCs w:val="24"/>
              </w:rPr>
            </w:pPr>
            <w:r>
              <w:rPr>
                <w:sz w:val="24"/>
                <w:szCs w:val="24"/>
              </w:rPr>
              <w:t>(номер факса)</w:t>
            </w:r>
          </w:p>
          <w:p>
            <w:pPr>
              <w:pStyle w:val="Normal"/>
              <w:widowControl w:val="false"/>
              <w:spacing w:lineRule="auto" w:line="240"/>
              <w:ind w:hanging="0"/>
              <w:jc w:val="left"/>
              <w:rPr>
                <w:sz w:val="24"/>
                <w:szCs w:val="24"/>
              </w:rPr>
            </w:pPr>
            <w:r>
              <w:rPr>
                <w:sz w:val="24"/>
                <w:szCs w:val="24"/>
              </w:rPr>
            </w:r>
          </w:p>
        </w:tc>
        <w:tc>
          <w:tcPr>
            <w:tcW w:w="4711" w:type="dxa"/>
            <w:gridSpan w:val="2"/>
            <w:tcBorders/>
            <w:shd w:color="auto" w:fill="BFBFBF" w:themeFill="background1" w:themeFillShade="bf" w:val="clear"/>
          </w:tcPr>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юридического лица)</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Место нахождения:</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r>
          </w:p>
          <w:p>
            <w:pPr>
              <w:pStyle w:val="Normal"/>
              <w:widowControl w:val="false"/>
              <w:spacing w:lineRule="auto" w:line="240"/>
              <w:ind w:hanging="0"/>
              <w:rPr>
                <w:sz w:val="24"/>
                <w:szCs w:val="24"/>
              </w:rPr>
            </w:pPr>
            <w:r>
              <w:rPr>
                <w:sz w:val="24"/>
                <w:szCs w:val="24"/>
              </w:rPr>
              <w:t>Почтовый адрес:</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ОГРН ___________________________</w:t>
            </w:r>
          </w:p>
          <w:p>
            <w:pPr>
              <w:pStyle w:val="Normal"/>
              <w:widowControl w:val="false"/>
              <w:spacing w:lineRule="auto" w:line="240"/>
              <w:ind w:hanging="0"/>
              <w:rPr>
                <w:sz w:val="24"/>
                <w:szCs w:val="24"/>
              </w:rPr>
            </w:pPr>
            <w:r>
              <w:rPr>
                <w:sz w:val="24"/>
                <w:szCs w:val="24"/>
              </w:rPr>
              <w:t>ИНН ____________ / КПП___________</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расчетного счета)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(наименование банка, в котором</w:t>
            </w:r>
          </w:p>
          <w:p>
            <w:pPr>
              <w:pStyle w:val="Normal"/>
              <w:widowControl w:val="false"/>
              <w:spacing w:lineRule="auto" w:line="240"/>
              <w:ind w:hanging="0"/>
              <w:rPr>
                <w:sz w:val="24"/>
                <w:szCs w:val="24"/>
              </w:rPr>
            </w:pPr>
            <w:r>
              <w:rPr>
                <w:sz w:val="24"/>
                <w:szCs w:val="24"/>
              </w:rPr>
              <w:t>открыт расчетный счет)</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корреспондентского счета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(БИК банка)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телефона)</w:t>
            </w:r>
          </w:p>
          <w:p>
            <w:pPr>
              <w:pStyle w:val="Normal"/>
              <w:widowControl w:val="false"/>
              <w:spacing w:lineRule="auto" w:line="240"/>
              <w:ind w:hanging="0"/>
              <w:rPr>
                <w:sz w:val="24"/>
                <w:szCs w:val="24"/>
              </w:rPr>
            </w:pPr>
            <w:r>
              <w:rPr>
                <w:sz w:val="24"/>
                <w:szCs w:val="24"/>
              </w:rPr>
              <w:t>_________________________________</w:t>
            </w:r>
          </w:p>
          <w:p>
            <w:pPr>
              <w:pStyle w:val="Normal"/>
              <w:widowControl w:val="false"/>
              <w:spacing w:lineRule="auto" w:line="240"/>
              <w:ind w:hanging="0"/>
              <w:rPr>
                <w:sz w:val="24"/>
                <w:szCs w:val="24"/>
              </w:rPr>
            </w:pPr>
            <w:r>
              <w:rPr>
                <w:sz w:val="24"/>
                <w:szCs w:val="24"/>
              </w:rPr>
              <w:t>(номер факса)</w:t>
            </w:r>
          </w:p>
          <w:p>
            <w:pPr>
              <w:pStyle w:val="Normal"/>
              <w:widowControl w:val="false"/>
              <w:spacing w:lineRule="auto" w:line="240"/>
              <w:ind w:hanging="0"/>
              <w:rPr>
                <w:sz w:val="24"/>
                <w:szCs w:val="24"/>
              </w:rPr>
            </w:pPr>
            <w:r>
              <w:rPr>
                <w:sz w:val="24"/>
                <w:szCs w:val="24"/>
              </w:rPr>
            </w:r>
          </w:p>
        </w:tc>
      </w:tr>
      <w:tr>
        <w:trPr/>
        <w:tc>
          <w:tcPr>
            <w:tcW w:w="4779" w:type="dxa"/>
            <w:tcBorders/>
            <w:shd w:fill="auto" w:val="clear"/>
          </w:tcPr>
          <w:p>
            <w:pPr>
              <w:pStyle w:val="Normal"/>
              <w:widowControl w:val="false"/>
              <w:spacing w:lineRule="auto" w:line="240"/>
              <w:ind w:firstLine="709"/>
              <w:jc w:val="left"/>
              <w:rPr>
                <w:sz w:val="24"/>
                <w:szCs w:val="24"/>
              </w:rPr>
            </w:pPr>
            <w:r>
              <w:rPr>
                <w:sz w:val="24"/>
                <w:szCs w:val="24"/>
              </w:rPr>
            </w:r>
          </w:p>
          <w:p>
            <w:pPr>
              <w:pStyle w:val="Normal"/>
              <w:widowControl w:val="false"/>
              <w:spacing w:lineRule="auto" w:line="240"/>
              <w:ind w:firstLine="709"/>
              <w:jc w:val="left"/>
              <w:rPr>
                <w:sz w:val="24"/>
                <w:szCs w:val="24"/>
                <w:highlight w:val="lightGray"/>
              </w:rPr>
            </w:pPr>
            <w:r>
              <w:rPr>
                <w:sz w:val="24"/>
                <w:szCs w:val="24"/>
                <w:highlight w:val="lightGray"/>
              </w:rPr>
              <w:t xml:space="preserve">_______________ / _______________ </w:t>
            </w:r>
          </w:p>
          <w:p>
            <w:pPr>
              <w:pStyle w:val="Normal"/>
              <w:widowControl w:val="false"/>
              <w:spacing w:lineRule="auto" w:line="240"/>
              <w:ind w:firstLine="709"/>
              <w:jc w:val="left"/>
              <w:rPr>
                <w:sz w:val="24"/>
                <w:szCs w:val="24"/>
                <w:highlight w:val="lightGray"/>
              </w:rPr>
            </w:pPr>
            <w:r>
              <w:rPr>
                <w:sz w:val="24"/>
                <w:szCs w:val="24"/>
                <w:highlight w:val="lightGray"/>
              </w:rPr>
            </w:r>
          </w:p>
        </w:tc>
        <w:tc>
          <w:tcPr>
            <w:tcW w:w="4779" w:type="dxa"/>
            <w:gridSpan w:val="2"/>
            <w:tcBorders/>
            <w:shd w:fill="auto" w:val="clear"/>
          </w:tcPr>
          <w:p>
            <w:pPr>
              <w:pStyle w:val="Normal"/>
              <w:widowControl w:val="false"/>
              <w:spacing w:lineRule="auto" w:line="240"/>
              <w:ind w:hanging="0"/>
              <w:jc w:val="left"/>
              <w:rPr>
                <w:sz w:val="24"/>
                <w:szCs w:val="24"/>
                <w:highlight w:val="lightGray"/>
              </w:rPr>
            </w:pPr>
            <w:r>
              <w:rPr>
                <w:sz w:val="24"/>
                <w:szCs w:val="24"/>
                <w:highlight w:val="lightGray"/>
              </w:rPr>
            </w:r>
          </w:p>
          <w:p>
            <w:pPr>
              <w:pStyle w:val="Normal"/>
              <w:widowControl w:val="false"/>
              <w:spacing w:lineRule="auto" w:line="240"/>
              <w:ind w:hanging="0"/>
              <w:jc w:val="center"/>
              <w:rPr>
                <w:sz w:val="24"/>
                <w:szCs w:val="24"/>
              </w:rPr>
            </w:pPr>
            <w:r>
              <w:rPr>
                <w:sz w:val="24"/>
                <w:szCs w:val="24"/>
                <w:highlight w:val="lightGray"/>
              </w:rPr>
              <w:t>_______________ / _______________</w:t>
            </w:r>
          </w:p>
          <w:p>
            <w:pPr>
              <w:pStyle w:val="Normal"/>
              <w:widowControl w:val="false"/>
              <w:spacing w:lineRule="auto" w:line="240"/>
              <w:ind w:hanging="0"/>
              <w:jc w:val="left"/>
              <w:rPr>
                <w:sz w:val="24"/>
                <w:szCs w:val="24"/>
              </w:rPr>
            </w:pPr>
            <w:r>
              <w:rPr>
                <w:sz w:val="24"/>
                <w:szCs w:val="24"/>
              </w:rPr>
            </w:r>
          </w:p>
        </w:tc>
        <w:tc>
          <w:tcPr>
            <w:tcW w:w="81" w:type="dxa"/>
            <w:tcBorders/>
            <w:shd w:fill="auto" w:val="clear"/>
          </w:tcPr>
          <w:p>
            <w:pPr>
              <w:pStyle w:val="Normal"/>
              <w:widowControl w:val="false"/>
              <w:rPr/>
            </w:pPr>
            <w:r>
              <w:rPr/>
            </w:r>
          </w:p>
        </w:tc>
      </w:tr>
    </w:tbl>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r>
    </w:p>
    <w:p>
      <w:pPr>
        <w:pStyle w:val="Normal"/>
        <w:spacing w:lineRule="auto" w:line="240"/>
        <w:ind w:hanging="0"/>
        <w:rPr>
          <w:sz w:val="22"/>
          <w:szCs w:val="22"/>
        </w:rPr>
      </w:pPr>
      <w:r>
        <w:rPr>
          <w:sz w:val="22"/>
          <w:szCs w:val="22"/>
        </w:rPr>
        <w:tab/>
        <w:tab/>
        <w:tab/>
        <w:tab/>
        <w:tab/>
        <w:tab/>
        <w:tab/>
      </w:r>
      <w:r>
        <w:br w:type="page"/>
      </w:r>
    </w:p>
    <w:p>
      <w:pPr>
        <w:pStyle w:val="Normal"/>
        <w:spacing w:lineRule="auto" w:line="240"/>
        <w:ind w:hanging="0"/>
        <w:rPr>
          <w:sz w:val="22"/>
          <w:szCs w:val="22"/>
        </w:rPr>
      </w:pPr>
      <w:r>
        <w:rPr>
          <w:sz w:val="22"/>
          <w:szCs w:val="22"/>
        </w:rPr>
        <w:tab/>
        <w:tab/>
        <w:tab/>
        <w:tab/>
        <w:tab/>
        <w:tab/>
        <w:tab/>
        <w:t>Приложение № 1</w:t>
      </w:r>
    </w:p>
    <w:p>
      <w:pPr>
        <w:pStyle w:val="Normal"/>
        <w:spacing w:lineRule="auto" w:line="240"/>
        <w:ind w:hanging="0" w:left="4820"/>
        <w:rPr>
          <w:sz w:val="22"/>
          <w:szCs w:val="22"/>
        </w:rPr>
      </w:pPr>
      <w:r>
        <w:rPr>
          <w:sz w:val="22"/>
          <w:szCs w:val="22"/>
        </w:rPr>
        <w:t>к Договору подряда</w:t>
      </w:r>
    </w:p>
    <w:p>
      <w:pPr>
        <w:pStyle w:val="Normal"/>
        <w:spacing w:lineRule="auto" w:line="240"/>
        <w:ind w:hanging="0" w:left="4820"/>
        <w:rPr>
          <w:sz w:val="22"/>
          <w:szCs w:val="22"/>
        </w:rPr>
      </w:pPr>
      <w:r>
        <w:rPr>
          <w:sz w:val="22"/>
          <w:szCs w:val="22"/>
        </w:rPr>
        <w:t>от «____» __________ 20 _ г. № ________</w:t>
      </w:r>
    </w:p>
    <w:p>
      <w:pPr>
        <w:pStyle w:val="Normal"/>
        <w:spacing w:lineRule="auto" w:line="240"/>
        <w:ind w:firstLine="709" w:left="1416"/>
        <w:rPr>
          <w:b/>
          <w:sz w:val="24"/>
          <w:szCs w:val="24"/>
        </w:rPr>
      </w:pPr>
      <w:r>
        <w:rPr>
          <w:b/>
          <w:sz w:val="24"/>
          <w:szCs w:val="24"/>
        </w:rPr>
      </w:r>
    </w:p>
    <w:p>
      <w:pPr>
        <w:pStyle w:val="Normal"/>
        <w:spacing w:lineRule="auto" w:line="240"/>
        <w:ind w:firstLine="709" w:left="1416"/>
        <w:rPr>
          <w:b/>
          <w:sz w:val="24"/>
          <w:szCs w:val="24"/>
        </w:rPr>
      </w:pPr>
      <w:r>
        <w:rPr>
          <w:b/>
          <w:sz w:val="24"/>
          <w:szCs w:val="24"/>
        </w:rPr>
      </w:r>
    </w:p>
    <w:p>
      <w:pPr>
        <w:pStyle w:val="Normal"/>
        <w:spacing w:lineRule="auto" w:line="240"/>
        <w:ind w:hanging="0"/>
        <w:jc w:val="center"/>
        <w:rPr>
          <w:b/>
          <w:sz w:val="24"/>
          <w:szCs w:val="24"/>
        </w:rPr>
      </w:pPr>
      <w:r>
        <w:rPr>
          <w:b/>
          <w:sz w:val="24"/>
          <w:szCs w:val="24"/>
        </w:rPr>
        <w:t>ТЕХНИЧЕСКОЕ ЗАДАНИЕ</w:t>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rPr>
      </w:pPr>
      <w:r>
        <w:rPr>
          <w:sz w:val="24"/>
        </w:rPr>
      </w:r>
    </w:p>
    <w:p>
      <w:pPr>
        <w:pStyle w:val="Normal"/>
        <w:spacing w:lineRule="auto" w:line="240"/>
        <w:ind w:firstLine="709"/>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firstLine="709" w:left="5103"/>
        <w:rPr>
          <w:sz w:val="22"/>
          <w:szCs w:val="22"/>
        </w:rPr>
      </w:pPr>
      <w:r>
        <w:rPr>
          <w:sz w:val="22"/>
          <w:szCs w:val="22"/>
        </w:rPr>
      </w:r>
    </w:p>
    <w:p>
      <w:pPr>
        <w:pStyle w:val="Normal"/>
        <w:spacing w:lineRule="auto" w:line="240"/>
        <w:ind w:firstLine="709"/>
        <w:jc w:val="left"/>
        <w:rPr>
          <w:sz w:val="22"/>
          <w:szCs w:val="22"/>
        </w:rPr>
      </w:pPr>
      <w:r>
        <w:rPr>
          <w:sz w:val="22"/>
          <w:szCs w:val="22"/>
        </w:rPr>
      </w:r>
      <w:r>
        <w:br w:type="page"/>
      </w:r>
    </w:p>
    <w:p>
      <w:pPr>
        <w:pStyle w:val="Normal"/>
        <w:spacing w:lineRule="auto" w:line="240"/>
        <w:ind w:hanging="0" w:left="4820"/>
        <w:jc w:val="left"/>
        <w:rPr>
          <w:sz w:val="22"/>
          <w:szCs w:val="22"/>
        </w:rPr>
      </w:pPr>
      <w:r>
        <w:rPr>
          <w:sz w:val="22"/>
          <w:szCs w:val="22"/>
        </w:rPr>
        <w:t>Приложение № 2</w:t>
      </w:r>
    </w:p>
    <w:p>
      <w:pPr>
        <w:pStyle w:val="Normal"/>
        <w:spacing w:lineRule="auto" w:line="240"/>
        <w:ind w:hanging="0" w:left="4820"/>
        <w:jc w:val="left"/>
        <w:rPr>
          <w:sz w:val="22"/>
          <w:szCs w:val="22"/>
        </w:rPr>
      </w:pPr>
      <w:r>
        <w:rPr>
          <w:sz w:val="22"/>
          <w:szCs w:val="22"/>
        </w:rPr>
        <w:t>к Договору подряда</w:t>
      </w:r>
    </w:p>
    <w:p>
      <w:pPr>
        <w:pStyle w:val="Normal"/>
        <w:spacing w:lineRule="auto" w:line="240"/>
        <w:ind w:hanging="0" w:left="4820"/>
        <w:jc w:val="left"/>
        <w:rPr>
          <w:sz w:val="22"/>
          <w:szCs w:val="22"/>
        </w:rPr>
      </w:pPr>
      <w:r>
        <w:rPr>
          <w:sz w:val="22"/>
          <w:szCs w:val="22"/>
        </w:rPr>
        <w:t>от «____» __________ 20 _ г. № ____</w:t>
      </w:r>
    </w:p>
    <w:p>
      <w:pPr>
        <w:pStyle w:val="Normal"/>
        <w:spacing w:lineRule="auto" w:line="240"/>
        <w:ind w:firstLine="709"/>
        <w:rPr>
          <w:sz w:val="22"/>
          <w:szCs w:val="22"/>
        </w:rPr>
      </w:pPr>
      <w:r>
        <w:rPr>
          <w:sz w:val="22"/>
          <w:szCs w:val="22"/>
        </w:rPr>
      </w:r>
    </w:p>
    <w:p>
      <w:pPr>
        <w:pStyle w:val="Normal"/>
        <w:spacing w:lineRule="auto" w:line="240"/>
        <w:ind w:firstLine="709"/>
        <w:rPr>
          <w:b/>
          <w:bCs/>
          <w:sz w:val="24"/>
          <w:szCs w:val="24"/>
        </w:rPr>
      </w:pPr>
      <w:r>
        <w:rPr>
          <w:b/>
          <w:bCs/>
          <w:sz w:val="24"/>
          <w:szCs w:val="24"/>
        </w:rPr>
      </w:r>
    </w:p>
    <w:p>
      <w:pPr>
        <w:pStyle w:val="Normal"/>
        <w:spacing w:lineRule="auto" w:line="240"/>
        <w:ind w:hanging="0"/>
        <w:jc w:val="center"/>
        <w:rPr>
          <w:b/>
          <w:sz w:val="24"/>
          <w:szCs w:val="24"/>
        </w:rPr>
      </w:pPr>
      <w:r>
        <w:rPr>
          <w:b/>
          <w:sz w:val="24"/>
          <w:szCs w:val="24"/>
        </w:rPr>
        <w:t>СВОДНАЯ СМЕТА С ПРИЛОЖЕНИЯМИ</w:t>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rPr>
      </w:pPr>
      <w:r>
        <w:rPr>
          <w:sz w:val="24"/>
        </w:rPr>
      </w:r>
    </w:p>
    <w:p>
      <w:pPr>
        <w:pStyle w:val="Normal"/>
        <w:spacing w:lineRule="auto" w:line="240"/>
        <w:ind w:firstLine="709"/>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firstLine="34"/>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firstLine="34"/>
              <w:rPr>
                <w:sz w:val="22"/>
                <w:szCs w:val="22"/>
              </w:rPr>
            </w:pPr>
            <w:r>
              <w:rPr>
                <w:sz w:val="22"/>
                <w:szCs w:val="22"/>
              </w:rPr>
            </w:r>
          </w:p>
          <w:p>
            <w:pPr>
              <w:pStyle w:val="Normal"/>
              <w:widowControl w:val="false"/>
              <w:spacing w:lineRule="auto" w:line="240"/>
              <w:ind w:firstLine="34"/>
              <w:rPr>
                <w:sz w:val="22"/>
                <w:szCs w:val="22"/>
              </w:rPr>
            </w:pPr>
            <w:r>
              <w:rPr>
                <w:sz w:val="22"/>
                <w:szCs w:val="22"/>
              </w:rPr>
            </w:r>
          </w:p>
          <w:p>
            <w:pPr>
              <w:pStyle w:val="Normal"/>
              <w:widowControl w:val="false"/>
              <w:spacing w:lineRule="auto" w:line="240"/>
              <w:ind w:firstLine="34"/>
              <w:rPr>
                <w:sz w:val="22"/>
                <w:szCs w:val="22"/>
              </w:rPr>
            </w:pPr>
            <w:r>
              <w:rPr>
                <w:sz w:val="22"/>
                <w:szCs w:val="22"/>
              </w:rPr>
              <w:t xml:space="preserve">_______________ / _______________ </w:t>
            </w:r>
          </w:p>
          <w:p>
            <w:pPr>
              <w:pStyle w:val="Normal"/>
              <w:widowControl w:val="false"/>
              <w:spacing w:lineRule="auto" w:line="240"/>
              <w:ind w:firstLine="34"/>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firstLine="709"/>
        <w:jc w:val="left"/>
        <w:rPr>
          <w:sz w:val="22"/>
          <w:szCs w:val="22"/>
        </w:rPr>
      </w:pPr>
      <w:r>
        <w:rPr>
          <w:sz w:val="22"/>
          <w:szCs w:val="22"/>
        </w:rPr>
      </w:r>
    </w:p>
    <w:p>
      <w:pPr>
        <w:pStyle w:val="Normal"/>
        <w:spacing w:lineRule="auto" w:line="240"/>
        <w:ind w:hanging="0" w:left="4820"/>
        <w:jc w:val="left"/>
        <w:rPr>
          <w:sz w:val="22"/>
          <w:szCs w:val="22"/>
        </w:rPr>
      </w:pPr>
      <w:r>
        <w:rPr>
          <w:sz w:val="22"/>
          <w:szCs w:val="22"/>
        </w:rPr>
      </w:r>
      <w:r>
        <w:br w:type="page"/>
      </w:r>
    </w:p>
    <w:p>
      <w:pPr>
        <w:pStyle w:val="Normal"/>
        <w:spacing w:lineRule="auto" w:line="240"/>
        <w:ind w:hanging="0" w:left="4820"/>
        <w:jc w:val="left"/>
        <w:rPr>
          <w:sz w:val="22"/>
          <w:szCs w:val="22"/>
        </w:rPr>
      </w:pPr>
      <w:r>
        <w:rPr>
          <w:sz w:val="22"/>
          <w:szCs w:val="22"/>
        </w:rPr>
        <w:t>Приложение № 3</w:t>
      </w:r>
    </w:p>
    <w:p>
      <w:pPr>
        <w:pStyle w:val="Normal"/>
        <w:spacing w:lineRule="auto" w:line="240"/>
        <w:ind w:hanging="0" w:left="4820"/>
        <w:jc w:val="left"/>
        <w:rPr>
          <w:sz w:val="22"/>
          <w:szCs w:val="22"/>
        </w:rPr>
      </w:pPr>
      <w:r>
        <w:rPr>
          <w:sz w:val="22"/>
          <w:szCs w:val="22"/>
        </w:rPr>
        <w:t>к Договору подряда</w:t>
      </w:r>
    </w:p>
    <w:p>
      <w:pPr>
        <w:pStyle w:val="Normal"/>
        <w:spacing w:lineRule="auto" w:line="240"/>
        <w:ind w:hanging="0" w:left="4820"/>
        <w:jc w:val="left"/>
        <w:rPr>
          <w:sz w:val="22"/>
          <w:szCs w:val="22"/>
        </w:rPr>
      </w:pPr>
      <w:r>
        <w:rPr>
          <w:sz w:val="22"/>
          <w:szCs w:val="22"/>
        </w:rPr>
        <w:t xml:space="preserve">от «____» __________ 20 _ г. № ____ </w:t>
      </w:r>
    </w:p>
    <w:p>
      <w:pPr>
        <w:pStyle w:val="Normal"/>
        <w:spacing w:lineRule="auto" w:line="240"/>
        <w:ind w:firstLine="709"/>
        <w:rPr>
          <w:sz w:val="22"/>
          <w:szCs w:val="22"/>
        </w:rPr>
      </w:pPr>
      <w:r>
        <w:rPr>
          <w:sz w:val="22"/>
          <w:szCs w:val="22"/>
        </w:rPr>
      </w:r>
    </w:p>
    <w:p>
      <w:pPr>
        <w:pStyle w:val="Normal"/>
        <w:spacing w:lineRule="auto" w:line="240"/>
        <w:ind w:firstLine="709"/>
        <w:rPr>
          <w:b/>
          <w:bCs/>
          <w:sz w:val="24"/>
          <w:szCs w:val="24"/>
        </w:rPr>
      </w:pPr>
      <w:r>
        <w:rPr>
          <w:b/>
          <w:bCs/>
          <w:sz w:val="24"/>
          <w:szCs w:val="24"/>
        </w:rPr>
      </w:r>
    </w:p>
    <w:p>
      <w:pPr>
        <w:pStyle w:val="Title"/>
        <w:shd w:val="clear" w:color="auto" w:fill="auto"/>
        <w:ind w:hanging="0"/>
        <w:rPr>
          <w:b w:val="false"/>
          <w:sz w:val="24"/>
        </w:rPr>
      </w:pPr>
      <w:r>
        <w:rPr>
          <w:sz w:val="24"/>
        </w:rPr>
        <w:t>ФОРМА</w:t>
      </w:r>
    </w:p>
    <w:p>
      <w:pPr>
        <w:pStyle w:val="Title"/>
        <w:shd w:val="clear" w:color="auto" w:fill="auto"/>
        <w:ind w:hanging="0"/>
        <w:rPr>
          <w:i/>
          <w:i/>
          <w:sz w:val="24"/>
        </w:rPr>
      </w:pPr>
      <w:r>
        <w:rPr>
          <w:sz w:val="24"/>
        </w:rPr>
        <w:t xml:space="preserve">Акта сдачи-приемки технической и иной документации </w:t>
      </w:r>
    </w:p>
    <w:p>
      <w:pPr>
        <w:pStyle w:val="Normal"/>
        <w:spacing w:lineRule="auto" w:line="240"/>
        <w:ind w:firstLine="709"/>
        <w:rPr>
          <w:sz w:val="24"/>
          <w:szCs w:val="24"/>
        </w:rPr>
      </w:pPr>
      <w:r>
        <w:rPr>
          <w:sz w:val="24"/>
          <w:szCs w:val="24"/>
        </w:rPr>
      </w:r>
    </w:p>
    <w:tbl>
      <w:tblPr>
        <w:tblW w:w="5000" w:type="pct"/>
        <w:jc w:val="left"/>
        <w:tblInd w:w="0" w:type="dxa"/>
        <w:tblLayout w:type="fixed"/>
        <w:tblCellMar>
          <w:top w:w="0" w:type="dxa"/>
          <w:left w:w="103" w:type="dxa"/>
          <w:bottom w:w="0" w:type="dxa"/>
          <w:right w:w="108" w:type="dxa"/>
        </w:tblCellMar>
        <w:tblLook w:val="04a0" w:noHBand="0" w:noVBand="1" w:firstColumn="1" w:lastRow="0" w:lastColumn="0" w:firstRow="1"/>
      </w:tblPr>
      <w:tblGrid>
        <w:gridCol w:w="9637"/>
      </w:tblGrid>
      <w:tr>
        <w:trPr/>
        <w:tc>
          <w:tcPr>
            <w:tcW w:w="9637" w:type="dxa"/>
            <w:tcBorders>
              <w:top w:val="single" w:sz="4" w:space="0" w:color="000001"/>
              <w:left w:val="single" w:sz="4" w:space="0" w:color="000001"/>
              <w:bottom w:val="single" w:sz="4" w:space="0" w:color="000001"/>
              <w:right w:val="single" w:sz="4" w:space="0" w:color="000001"/>
            </w:tcBorders>
            <w:shd w:color="auto" w:fill="auto" w:val="clear"/>
          </w:tcPr>
          <w:p>
            <w:pPr>
              <w:pStyle w:val="Title"/>
              <w:widowControl w:val="false"/>
              <w:shd w:val="clear" w:color="auto" w:fill="auto"/>
              <w:spacing w:lineRule="auto" w:line="240"/>
              <w:ind w:hanging="0"/>
              <w:rPr>
                <w:b w:val="false"/>
                <w:bCs/>
              </w:rPr>
            </w:pPr>
            <w:r>
              <w:rPr>
                <w:b w:val="false"/>
                <w:bCs/>
              </w:rPr>
              <w:t xml:space="preserve">Акт </w:t>
            </w:r>
          </w:p>
          <w:p>
            <w:pPr>
              <w:pStyle w:val="Title"/>
              <w:widowControl w:val="false"/>
              <w:shd w:val="clear" w:color="auto" w:fill="auto"/>
              <w:spacing w:lineRule="auto" w:line="240"/>
              <w:ind w:hanging="0"/>
              <w:rPr>
                <w:i/>
                <w:i/>
                <w:iCs/>
              </w:rPr>
            </w:pPr>
            <w:r>
              <w:rPr>
                <w:b w:val="false"/>
                <w:bCs/>
              </w:rPr>
              <w:t>сдачи-приемки технической и иной документации</w:t>
            </w:r>
          </w:p>
          <w:p>
            <w:pPr>
              <w:pStyle w:val="Normal"/>
              <w:widowControl w:val="false"/>
              <w:spacing w:lineRule="auto" w:line="240"/>
              <w:ind w:firstLine="709"/>
              <w:rPr>
                <w:sz w:val="22"/>
                <w:szCs w:val="22"/>
              </w:rPr>
            </w:pPr>
            <w:r>
              <w:rPr>
                <w:sz w:val="22"/>
                <w:szCs w:val="22"/>
              </w:rPr>
            </w:r>
          </w:p>
          <w:p>
            <w:pPr>
              <w:pStyle w:val="Normal"/>
              <w:widowControl w:val="false"/>
              <w:spacing w:lineRule="auto" w:line="240"/>
              <w:ind w:firstLine="709"/>
              <w:rPr>
                <w:sz w:val="22"/>
                <w:szCs w:val="22"/>
              </w:rPr>
            </w:pPr>
            <w:r>
              <w:rPr>
                <w:sz w:val="22"/>
                <w:szCs w:val="22"/>
              </w:rPr>
              <w:t>г.___________                                                                                               «_____» _________201_г.</w:t>
            </w:r>
          </w:p>
          <w:p>
            <w:pPr>
              <w:pStyle w:val="Normal"/>
              <w:widowControl w:val="false"/>
              <w:spacing w:lineRule="auto" w:line="240"/>
              <w:ind w:firstLine="709"/>
              <w:rPr>
                <w:sz w:val="22"/>
                <w:szCs w:val="22"/>
              </w:rPr>
            </w:pPr>
            <w:r>
              <w:rPr>
                <w:sz w:val="22"/>
                <w:szCs w:val="22"/>
              </w:rPr>
            </w:r>
          </w:p>
          <w:p>
            <w:pPr>
              <w:pStyle w:val="Normal"/>
              <w:widowControl w:val="false"/>
              <w:spacing w:lineRule="auto" w:line="240"/>
              <w:ind w:firstLine="709"/>
              <w:rPr>
                <w:sz w:val="22"/>
                <w:szCs w:val="22"/>
              </w:rPr>
            </w:pPr>
            <w:r>
              <w:rPr>
                <w:sz w:val="22"/>
                <w:szCs w:val="22"/>
              </w:rPr>
              <w:t xml:space="preserve">____________________, именуемое далее «Подрядчик», в лице ________________, действующего на основании ______________, </w:t>
            </w:r>
          </w:p>
          <w:p>
            <w:pPr>
              <w:pStyle w:val="Normal"/>
              <w:widowControl w:val="false"/>
              <w:spacing w:lineRule="auto" w:line="240"/>
              <w:ind w:firstLine="709"/>
              <w:rPr>
                <w:sz w:val="22"/>
                <w:szCs w:val="22"/>
              </w:rPr>
            </w:pPr>
            <w:r>
              <w:rPr>
                <w:sz w:val="22"/>
                <w:szCs w:val="22"/>
              </w:rPr>
              <w:t>____________________, именуемое далее «Заказчик», в лице ________________, действующего на основании ______________, составили настоящий акт о нижеследующем:</w:t>
            </w:r>
          </w:p>
          <w:p>
            <w:pPr>
              <w:pStyle w:val="Normal"/>
              <w:widowControl w:val="false"/>
              <w:spacing w:lineRule="auto" w:line="240"/>
              <w:ind w:firstLine="709"/>
              <w:rPr>
                <w:bCs/>
                <w:sz w:val="22"/>
                <w:szCs w:val="22"/>
              </w:rPr>
            </w:pPr>
            <w:r>
              <w:rPr>
                <w:sz w:val="22"/>
                <w:szCs w:val="22"/>
              </w:rPr>
              <w:t>Заказчик передал Подрядчику, а Подрядчик принял</w:t>
            </w:r>
            <w:r>
              <w:rPr>
                <w:bCs/>
                <w:sz w:val="22"/>
                <w:szCs w:val="22"/>
              </w:rPr>
              <w:t xml:space="preserve"> следующую </w:t>
            </w:r>
            <w:r>
              <w:rPr>
                <w:sz w:val="22"/>
                <w:szCs w:val="22"/>
              </w:rPr>
              <w:t>техническую и иную документацию для выполнения Работ по Договору</w:t>
            </w:r>
            <w:r>
              <w:rPr>
                <w:bCs/>
                <w:sz w:val="22"/>
                <w:szCs w:val="22"/>
              </w:rPr>
              <w:t xml:space="preserve"> №______ от _____________:</w:t>
            </w:r>
          </w:p>
          <w:p>
            <w:pPr>
              <w:pStyle w:val="Normal"/>
              <w:widowControl w:val="false"/>
              <w:spacing w:lineRule="auto" w:line="240"/>
              <w:ind w:firstLine="709"/>
              <w:rPr>
                <w:bCs/>
                <w:sz w:val="22"/>
                <w:szCs w:val="22"/>
              </w:rPr>
            </w:pPr>
            <w:r>
              <w:rPr>
                <w:bCs/>
                <w:sz w:val="22"/>
                <w:szCs w:val="22"/>
              </w:rPr>
              <w:t xml:space="preserve">__________________________________________________________________________ </w:t>
            </w:r>
          </w:p>
          <w:p>
            <w:pPr>
              <w:pStyle w:val="Normal"/>
              <w:widowControl w:val="false"/>
              <w:spacing w:lineRule="auto" w:line="240"/>
              <w:ind w:firstLine="709"/>
              <w:rPr>
                <w:bCs/>
                <w:sz w:val="22"/>
                <w:szCs w:val="22"/>
              </w:rPr>
            </w:pPr>
            <w:r>
              <w:rPr>
                <w:bCs/>
                <w:sz w:val="22"/>
                <w:szCs w:val="22"/>
              </w:rPr>
              <w:t>__________________________________________________________________________</w:t>
            </w:r>
          </w:p>
          <w:p>
            <w:pPr>
              <w:pStyle w:val="Normal"/>
              <w:widowControl w:val="false"/>
              <w:spacing w:lineRule="auto" w:line="240"/>
              <w:ind w:firstLine="709"/>
              <w:rPr>
                <w:bCs/>
                <w:sz w:val="22"/>
                <w:szCs w:val="22"/>
              </w:rPr>
            </w:pPr>
            <w:r>
              <w:rPr>
                <w:bCs/>
                <w:sz w:val="22"/>
                <w:szCs w:val="22"/>
              </w:rPr>
              <w:t>__________________________________________________________________________</w:t>
            </w:r>
          </w:p>
          <w:p>
            <w:pPr>
              <w:pStyle w:val="Normal"/>
              <w:widowControl w:val="false"/>
              <w:spacing w:lineRule="auto" w:line="240"/>
              <w:ind w:firstLine="709"/>
              <w:rPr>
                <w:bCs/>
                <w:sz w:val="22"/>
                <w:szCs w:val="22"/>
              </w:rPr>
            </w:pPr>
            <w:r>
              <w:rPr>
                <w:bCs/>
                <w:sz w:val="22"/>
                <w:szCs w:val="22"/>
              </w:rPr>
              <w:t xml:space="preserve">Документация передана </w:t>
            </w:r>
            <w:r>
              <w:rPr>
                <w:sz w:val="22"/>
                <w:szCs w:val="22"/>
              </w:rPr>
              <w:t>Подрядчик</w:t>
            </w:r>
            <w:r>
              <w:rPr>
                <w:bCs/>
                <w:sz w:val="22"/>
                <w:szCs w:val="22"/>
              </w:rPr>
              <w:t xml:space="preserve">у в установленный Договором срок. </w:t>
            </w:r>
          </w:p>
          <w:p>
            <w:pPr>
              <w:pStyle w:val="Normal"/>
              <w:widowControl w:val="false"/>
              <w:spacing w:lineRule="auto" w:line="240"/>
              <w:ind w:firstLine="709"/>
              <w:rPr>
                <w:sz w:val="20"/>
                <w:szCs w:val="20"/>
              </w:rPr>
            </w:pPr>
            <w:r>
              <w:rPr>
                <w:sz w:val="20"/>
                <w:szCs w:val="20"/>
              </w:rPr>
            </w:r>
          </w:p>
          <w:p>
            <w:pPr>
              <w:pStyle w:val="Normal"/>
              <w:widowControl w:val="false"/>
              <w:spacing w:lineRule="auto" w:line="240"/>
              <w:ind w:firstLine="709"/>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firstLine="709"/>
                    <w:rPr>
                      <w:bCs/>
                      <w:sz w:val="24"/>
                      <w:szCs w:val="24"/>
                    </w:rPr>
                  </w:pPr>
                  <w:r>
                    <w:rPr>
                      <w:bCs/>
                      <w:sz w:val="24"/>
                      <w:szCs w:val="24"/>
                    </w:rPr>
                    <w:t>Заказчик:</w:t>
                  </w:r>
                </w:p>
              </w:tc>
              <w:tc>
                <w:tcPr>
                  <w:tcW w:w="4785" w:type="dxa"/>
                  <w:tcBorders/>
                  <w:shd w:fill="auto" w:val="clear"/>
                </w:tcPr>
                <w:p>
                  <w:pPr>
                    <w:pStyle w:val="Normal"/>
                    <w:widowControl w:val="false"/>
                    <w:spacing w:lineRule="auto" w:line="240"/>
                    <w:ind w:firstLine="709"/>
                    <w:rPr>
                      <w:bCs/>
                      <w:sz w:val="24"/>
                      <w:szCs w:val="24"/>
                    </w:rPr>
                  </w:pPr>
                  <w:r>
                    <w:rPr>
                      <w:bCs/>
                      <w:sz w:val="24"/>
                      <w:szCs w:val="24"/>
                    </w:rPr>
                    <w:t>Подрядчик:</w:t>
                  </w:r>
                </w:p>
              </w:tc>
            </w:tr>
            <w:tr>
              <w:trPr/>
              <w:tc>
                <w:tcPr>
                  <w:tcW w:w="4785" w:type="dxa"/>
                  <w:tcBorders/>
                  <w:shd w:color="auto" w:fill="auto" w:val="clear"/>
                </w:tcPr>
                <w:p>
                  <w:pPr>
                    <w:pStyle w:val="Normal"/>
                    <w:widowControl w:val="false"/>
                    <w:spacing w:lineRule="auto" w:line="240"/>
                    <w:ind w:firstLine="709"/>
                    <w:rPr>
                      <w:sz w:val="22"/>
                      <w:szCs w:val="22"/>
                    </w:rPr>
                  </w:pPr>
                  <w:r>
                    <w:rPr>
                      <w:sz w:val="22"/>
                      <w:szCs w:val="22"/>
                    </w:rPr>
                  </w:r>
                </w:p>
                <w:p>
                  <w:pPr>
                    <w:pStyle w:val="Normal"/>
                    <w:widowControl w:val="false"/>
                    <w:spacing w:lineRule="auto" w:line="240"/>
                    <w:ind w:firstLine="709"/>
                    <w:rPr>
                      <w:sz w:val="22"/>
                      <w:szCs w:val="22"/>
                    </w:rPr>
                  </w:pPr>
                  <w:r>
                    <w:rPr>
                      <w:sz w:val="22"/>
                      <w:szCs w:val="22"/>
                    </w:rPr>
                  </w:r>
                </w:p>
                <w:p>
                  <w:pPr>
                    <w:pStyle w:val="Normal"/>
                    <w:widowControl w:val="false"/>
                    <w:spacing w:lineRule="auto" w:line="240"/>
                    <w:ind w:firstLine="709"/>
                    <w:rPr>
                      <w:sz w:val="22"/>
                      <w:szCs w:val="22"/>
                    </w:rPr>
                  </w:pPr>
                  <w:r>
                    <w:rPr>
                      <w:sz w:val="22"/>
                      <w:szCs w:val="22"/>
                    </w:rPr>
                    <w:t xml:space="preserve">_______________ / _______________ </w:t>
                  </w:r>
                </w:p>
                <w:p>
                  <w:pPr>
                    <w:pStyle w:val="Normal"/>
                    <w:widowControl w:val="false"/>
                    <w:spacing w:lineRule="auto" w:line="240"/>
                    <w:ind w:firstLine="709"/>
                    <w:rPr>
                      <w:sz w:val="22"/>
                      <w:szCs w:val="22"/>
                    </w:rPr>
                  </w:pPr>
                  <w:r>
                    <w:rPr>
                      <w:sz w:val="22"/>
                      <w:szCs w:val="22"/>
                    </w:rPr>
                  </w:r>
                </w:p>
              </w:tc>
              <w:tc>
                <w:tcPr>
                  <w:tcW w:w="4785" w:type="dxa"/>
                  <w:tcBorders/>
                  <w:shd w:color="auto" w:fill="auto" w:val="clear"/>
                </w:tcPr>
                <w:p>
                  <w:pPr>
                    <w:pStyle w:val="Normal"/>
                    <w:widowControl w:val="false"/>
                    <w:spacing w:lineRule="auto" w:line="240"/>
                    <w:ind w:firstLine="709"/>
                    <w:rPr>
                      <w:sz w:val="22"/>
                      <w:szCs w:val="22"/>
                    </w:rPr>
                  </w:pPr>
                  <w:r>
                    <w:rPr>
                      <w:sz w:val="22"/>
                      <w:szCs w:val="22"/>
                    </w:rPr>
                  </w:r>
                </w:p>
                <w:p>
                  <w:pPr>
                    <w:pStyle w:val="Normal"/>
                    <w:widowControl w:val="false"/>
                    <w:spacing w:lineRule="auto" w:line="240"/>
                    <w:ind w:firstLine="709"/>
                    <w:rPr>
                      <w:sz w:val="22"/>
                      <w:szCs w:val="22"/>
                    </w:rPr>
                  </w:pPr>
                  <w:r>
                    <w:rPr>
                      <w:sz w:val="22"/>
                      <w:szCs w:val="22"/>
                    </w:rPr>
                  </w:r>
                </w:p>
                <w:p>
                  <w:pPr>
                    <w:pStyle w:val="Normal"/>
                    <w:widowControl w:val="false"/>
                    <w:spacing w:lineRule="auto" w:line="240"/>
                    <w:ind w:firstLine="709"/>
                    <w:rPr>
                      <w:sz w:val="22"/>
                      <w:szCs w:val="22"/>
                    </w:rPr>
                  </w:pPr>
                  <w:r>
                    <w:rPr>
                      <w:sz w:val="22"/>
                      <w:szCs w:val="22"/>
                    </w:rPr>
                    <w:t xml:space="preserve">_______________ / _______________ </w:t>
                  </w:r>
                </w:p>
                <w:p>
                  <w:pPr>
                    <w:pStyle w:val="Normal"/>
                    <w:widowControl w:val="false"/>
                    <w:spacing w:lineRule="auto" w:line="240"/>
                    <w:ind w:firstLine="709"/>
                    <w:rPr>
                      <w:sz w:val="22"/>
                      <w:szCs w:val="22"/>
                    </w:rPr>
                  </w:pPr>
                  <w:r>
                    <w:rPr>
                      <w:sz w:val="22"/>
                      <w:szCs w:val="22"/>
                    </w:rPr>
                  </w:r>
                </w:p>
              </w:tc>
            </w:tr>
          </w:tbl>
          <w:p>
            <w:pPr>
              <w:pStyle w:val="Title"/>
              <w:widowControl w:val="false"/>
              <w:shd w:val="clear" w:color="auto" w:fill="auto"/>
              <w:spacing w:lineRule="auto" w:line="240"/>
              <w:ind w:firstLine="709"/>
              <w:jc w:val="left"/>
              <w:rPr>
                <w:i/>
                <w:i/>
                <w:iCs/>
              </w:rPr>
            </w:pPr>
            <w:r>
              <w:rPr>
                <w:i/>
                <w:iCs/>
              </w:rPr>
            </w:r>
          </w:p>
          <w:p>
            <w:pPr>
              <w:pStyle w:val="Title"/>
              <w:widowControl w:val="false"/>
              <w:shd w:val="clear" w:color="auto" w:fill="auto"/>
              <w:spacing w:lineRule="auto" w:line="240" w:before="0" w:after="120"/>
              <w:ind w:firstLine="709"/>
              <w:jc w:val="left"/>
              <w:rPr>
                <w:i/>
                <w:i/>
                <w:iCs/>
              </w:rPr>
            </w:pPr>
            <w:r>
              <w:rPr>
                <w:i/>
                <w:iCs/>
              </w:rPr>
            </w:r>
          </w:p>
        </w:tc>
      </w:tr>
    </w:tbl>
    <w:p>
      <w:pPr>
        <w:pStyle w:val="Title"/>
        <w:ind w:firstLine="709"/>
        <w:jc w:val="left"/>
        <w:rPr>
          <w:i/>
          <w:i/>
          <w:iCs/>
        </w:rPr>
      </w:pPr>
      <w:r>
        <w:rPr>
          <w:i/>
          <w:iCs/>
        </w:rPr>
      </w:r>
    </w:p>
    <w:p>
      <w:pPr>
        <w:pStyle w:val="Title"/>
        <w:ind w:firstLine="709"/>
        <w:jc w:val="left"/>
        <w:rPr>
          <w:i/>
          <w:i/>
          <w:iCs/>
        </w:rPr>
      </w:pPr>
      <w:r>
        <w:rPr>
          <w:i/>
          <w:iCs/>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left="5103"/>
        <w:rPr>
          <w:sz w:val="22"/>
          <w:szCs w:val="22"/>
          <w:highlight w:val="yellow"/>
        </w:rPr>
      </w:pPr>
      <w:r>
        <w:rPr>
          <w:sz w:val="22"/>
          <w:szCs w:val="22"/>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firstLine="709" w:left="5103"/>
        <w:rPr>
          <w:sz w:val="22"/>
          <w:szCs w:val="22"/>
          <w:highlight w:val="yellow"/>
        </w:rPr>
      </w:pPr>
      <w:r>
        <w:rPr>
          <w:sz w:val="22"/>
          <w:szCs w:val="22"/>
          <w:highlight w:val="yellow"/>
        </w:rPr>
      </w:r>
      <w:r>
        <w:br w:type="page"/>
      </w:r>
    </w:p>
    <w:p>
      <w:pPr>
        <w:pStyle w:val="Normal"/>
        <w:spacing w:lineRule="auto" w:line="240"/>
        <w:ind w:hanging="0" w:left="4820"/>
        <w:rPr>
          <w:sz w:val="22"/>
          <w:szCs w:val="22"/>
        </w:rPr>
      </w:pPr>
      <w:r>
        <w:rPr>
          <w:sz w:val="22"/>
          <w:szCs w:val="22"/>
        </w:rPr>
        <w:t>Приложение № 4</w:t>
      </w:r>
    </w:p>
    <w:p>
      <w:pPr>
        <w:pStyle w:val="Normal"/>
        <w:spacing w:lineRule="auto" w:line="240"/>
        <w:ind w:hanging="0" w:left="4820"/>
        <w:rPr>
          <w:sz w:val="22"/>
          <w:szCs w:val="22"/>
        </w:rPr>
      </w:pPr>
      <w:r>
        <w:rPr>
          <w:sz w:val="22"/>
          <w:szCs w:val="22"/>
        </w:rPr>
        <w:t>к Договору подряда</w:t>
      </w:r>
    </w:p>
    <w:p>
      <w:pPr>
        <w:pStyle w:val="Normal"/>
        <w:spacing w:lineRule="auto" w:line="240"/>
        <w:ind w:hanging="0" w:left="4820"/>
        <w:rPr>
          <w:sz w:val="22"/>
          <w:szCs w:val="22"/>
        </w:rPr>
      </w:pPr>
      <w:r>
        <w:rPr>
          <w:sz w:val="22"/>
          <w:szCs w:val="22"/>
        </w:rPr>
        <w:t>от «____» __________ 20 _ г. № ____</w:t>
      </w:r>
    </w:p>
    <w:p>
      <w:pPr>
        <w:pStyle w:val="Normal"/>
        <w:spacing w:lineRule="auto" w:line="240"/>
        <w:ind w:firstLine="709"/>
        <w:rPr>
          <w:b/>
          <w:bCs/>
          <w:sz w:val="24"/>
          <w:szCs w:val="24"/>
        </w:rPr>
      </w:pPr>
      <w:r>
        <w:rPr>
          <w:b/>
          <w:bCs/>
          <w:sz w:val="24"/>
          <w:szCs w:val="24"/>
        </w:rPr>
      </w:r>
    </w:p>
    <w:p>
      <w:pPr>
        <w:pStyle w:val="Normal"/>
        <w:spacing w:lineRule="auto" w:line="240"/>
        <w:ind w:firstLine="709"/>
        <w:jc w:val="center"/>
        <w:rPr>
          <w:b/>
          <w:bCs/>
        </w:rPr>
      </w:pPr>
      <w:r>
        <w:rPr>
          <w:b/>
          <w:bCs/>
        </w:rPr>
      </w:r>
    </w:p>
    <w:p>
      <w:pPr>
        <w:pStyle w:val="Normal"/>
        <w:spacing w:lineRule="auto" w:line="240"/>
        <w:ind w:hanging="0"/>
        <w:jc w:val="center"/>
        <w:rPr>
          <w:b/>
          <w:sz w:val="24"/>
        </w:rPr>
      </w:pPr>
      <w:r>
        <w:rPr>
          <w:b/>
          <w:sz w:val="24"/>
        </w:rPr>
        <w:t>Перечень допусков, разрешений и лицензий Подрядчика</w:t>
      </w:r>
    </w:p>
    <w:p>
      <w:pPr>
        <w:pStyle w:val="Normal"/>
        <w:spacing w:lineRule="auto" w:line="240"/>
        <w:ind w:firstLine="709"/>
        <w:jc w:val="center"/>
        <w:rPr>
          <w:b/>
          <w:bCs/>
        </w:rPr>
      </w:pPr>
      <w:r>
        <w:rPr>
          <w:b/>
          <w:bCs/>
        </w:rPr>
      </w:r>
    </w:p>
    <w:tbl>
      <w:tblPr>
        <w:tblW w:w="5000" w:type="pct"/>
        <w:jc w:val="left"/>
        <w:tblInd w:w="0" w:type="dxa"/>
        <w:tblLayout w:type="fixed"/>
        <w:tblCellMar>
          <w:top w:w="0" w:type="dxa"/>
          <w:left w:w="103" w:type="dxa"/>
          <w:bottom w:w="0" w:type="dxa"/>
          <w:right w:w="108" w:type="dxa"/>
        </w:tblCellMar>
        <w:tblLook w:val="04a0" w:noHBand="0" w:noVBand="1" w:firstColumn="1" w:lastRow="0" w:lastColumn="0" w:firstRow="1"/>
      </w:tblPr>
      <w:tblGrid>
        <w:gridCol w:w="556"/>
        <w:gridCol w:w="2306"/>
        <w:gridCol w:w="1220"/>
        <w:gridCol w:w="1086"/>
        <w:gridCol w:w="937"/>
        <w:gridCol w:w="1274"/>
        <w:gridCol w:w="2257"/>
      </w:tblGrid>
      <w:tr>
        <w:trPr>
          <w:trHeight w:val="2142" w:hRule="atLeast"/>
        </w:trPr>
        <w:tc>
          <w:tcPr>
            <w:tcW w:w="5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 </w:t>
            </w:r>
          </w:p>
          <w:p>
            <w:pPr>
              <w:pStyle w:val="Normal"/>
              <w:widowControl w:val="false"/>
              <w:spacing w:lineRule="auto" w:line="240"/>
              <w:ind w:hanging="0"/>
              <w:jc w:val="center"/>
              <w:rPr>
                <w:bCs/>
                <w:sz w:val="22"/>
                <w:szCs w:val="22"/>
              </w:rPr>
            </w:pPr>
            <w:r>
              <w:rPr>
                <w:bCs/>
                <w:sz w:val="22"/>
                <w:szCs w:val="22"/>
              </w:rPr>
              <w:t>п/п</w:t>
            </w:r>
          </w:p>
        </w:tc>
        <w:tc>
          <w:tcPr>
            <w:tcW w:w="23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Разрешительный документ</w:t>
            </w:r>
          </w:p>
        </w:tc>
        <w:tc>
          <w:tcPr>
            <w:tcW w:w="12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Номер, дата выдачи, </w:t>
            </w:r>
          </w:p>
          <w:p>
            <w:pPr>
              <w:pStyle w:val="Normal"/>
              <w:widowControl w:val="false"/>
              <w:spacing w:lineRule="auto" w:line="240"/>
              <w:ind w:hanging="2"/>
              <w:jc w:val="center"/>
              <w:rPr>
                <w:bCs/>
                <w:sz w:val="22"/>
                <w:szCs w:val="22"/>
              </w:rPr>
            </w:pPr>
            <w:r>
              <w:rPr>
                <w:bCs/>
                <w:sz w:val="22"/>
                <w:szCs w:val="22"/>
              </w:rPr>
              <w:t xml:space="preserve">кем выдан </w:t>
            </w:r>
          </w:p>
        </w:tc>
        <w:tc>
          <w:tcPr>
            <w:tcW w:w="108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Разрешаемая деятельность (виды деятельности)</w:t>
            </w:r>
          </w:p>
        </w:tc>
        <w:tc>
          <w:tcPr>
            <w:tcW w:w="93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21"/>
              <w:jc w:val="center"/>
              <w:rPr>
                <w:bCs/>
                <w:sz w:val="22"/>
                <w:szCs w:val="22"/>
              </w:rPr>
            </w:pPr>
            <w:r>
              <w:rPr>
                <w:bCs/>
                <w:sz w:val="22"/>
                <w:szCs w:val="22"/>
              </w:rPr>
              <w:t>Начало действия разрешительного документа</w:t>
            </w:r>
          </w:p>
        </w:tc>
        <w:tc>
          <w:tcPr>
            <w:tcW w:w="12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 xml:space="preserve">Окончание действия разрешительного документа </w:t>
            </w:r>
          </w:p>
        </w:tc>
        <w:tc>
          <w:tcPr>
            <w:tcW w:w="22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Cs/>
                <w:sz w:val="22"/>
                <w:szCs w:val="22"/>
              </w:rPr>
            </w:pPr>
            <w:r>
              <w:rPr>
                <w:bCs/>
                <w:sz w:val="22"/>
                <w:szCs w:val="22"/>
              </w:rPr>
              <w:t>Ограничения (условия) использования разрешительного документа (осуществления разрешаемой деятельности)</w:t>
            </w:r>
          </w:p>
        </w:tc>
      </w:tr>
      <w:tr>
        <w:trPr>
          <w:trHeight w:val="557" w:hRule="atLeast"/>
        </w:trPr>
        <w:tc>
          <w:tcPr>
            <w:tcW w:w="5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23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2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08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93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2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22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r>
      <w:tr>
        <w:trPr>
          <w:trHeight w:val="532" w:hRule="atLeast"/>
        </w:trPr>
        <w:tc>
          <w:tcPr>
            <w:tcW w:w="5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23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2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08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93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2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22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r>
      <w:tr>
        <w:trPr>
          <w:trHeight w:val="505" w:hRule="atLeast"/>
        </w:trPr>
        <w:tc>
          <w:tcPr>
            <w:tcW w:w="55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230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22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08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93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127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c>
          <w:tcPr>
            <w:tcW w:w="225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jc w:val="center"/>
              <w:rPr>
                <w:bCs/>
                <w:sz w:val="22"/>
                <w:szCs w:val="22"/>
              </w:rPr>
            </w:pPr>
            <w:r>
              <w:rPr>
                <w:bCs/>
                <w:sz w:val="22"/>
                <w:szCs w:val="22"/>
              </w:rPr>
            </w:r>
          </w:p>
        </w:tc>
      </w:tr>
    </w:tbl>
    <w:p>
      <w:pPr>
        <w:pStyle w:val="Normal"/>
        <w:spacing w:lineRule="auto" w:line="240"/>
        <w:ind w:firstLine="709"/>
        <w:jc w:val="center"/>
        <w:rPr>
          <w:b/>
          <w:bCs/>
        </w:rPr>
      </w:pPr>
      <w:r>
        <w:rPr>
          <w:b/>
          <w:bCs/>
        </w:rPr>
      </w:r>
    </w:p>
    <w:p>
      <w:pPr>
        <w:pStyle w:val="Normal"/>
        <w:spacing w:lineRule="auto" w:line="240"/>
        <w:ind w:firstLine="709"/>
        <w:jc w:val="center"/>
        <w:rPr>
          <w:b/>
          <w:sz w:val="24"/>
          <w:szCs w:val="24"/>
        </w:rPr>
      </w:pPr>
      <w:r>
        <w:rPr>
          <w:b/>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szCs w:val="24"/>
        </w:rPr>
      </w:pPr>
      <w:r>
        <w:rPr>
          <w:sz w:val="24"/>
          <w:szCs w:val="24"/>
        </w:rPr>
      </w:r>
    </w:p>
    <w:p>
      <w:pPr>
        <w:pStyle w:val="Normal"/>
        <w:spacing w:lineRule="auto" w:line="240"/>
        <w:ind w:firstLine="709"/>
        <w:rPr>
          <w:sz w:val="24"/>
        </w:rPr>
      </w:pPr>
      <w:r>
        <w:rPr>
          <w:sz w:val="24"/>
        </w:rPr>
      </w:r>
    </w:p>
    <w:p>
      <w:pPr>
        <w:pStyle w:val="Normal"/>
        <w:spacing w:lineRule="auto" w:line="240"/>
        <w:ind w:firstLine="709"/>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hanging="0"/>
        <w:rPr>
          <w:sz w:val="22"/>
          <w:szCs w:val="22"/>
        </w:rPr>
      </w:pPr>
      <w:r>
        <w:rPr>
          <w:sz w:val="22"/>
          <w:szCs w:val="22"/>
        </w:rPr>
      </w:r>
    </w:p>
    <w:p>
      <w:pPr>
        <w:pStyle w:val="Normal"/>
        <w:spacing w:lineRule="auto" w:line="240"/>
        <w:ind w:hanging="0" w:left="4820"/>
        <w:jc w:val="right"/>
        <w:rPr>
          <w:sz w:val="22"/>
          <w:szCs w:val="22"/>
        </w:rPr>
      </w:pPr>
      <w:r>
        <w:rPr>
          <w:sz w:val="22"/>
          <w:szCs w:val="22"/>
        </w:rPr>
      </w:r>
      <w:r>
        <w:br w:type="page"/>
      </w:r>
    </w:p>
    <w:p>
      <w:pPr>
        <w:pStyle w:val="Normal"/>
        <w:spacing w:lineRule="auto" w:line="240"/>
        <w:ind w:hanging="0" w:left="4820"/>
        <w:jc w:val="right"/>
        <w:rPr/>
      </w:pPr>
      <w:r>
        <w:rPr>
          <w:sz w:val="22"/>
          <w:szCs w:val="22"/>
        </w:rPr>
        <w:t>Приложение № 5</w:t>
      </w:r>
    </w:p>
    <w:p>
      <w:pPr>
        <w:pStyle w:val="Normal"/>
        <w:spacing w:lineRule="auto" w:line="240"/>
        <w:ind w:hanging="0" w:left="4820"/>
        <w:jc w:val="right"/>
        <w:rPr/>
      </w:pPr>
      <w:r>
        <w:rPr>
          <w:sz w:val="22"/>
          <w:szCs w:val="22"/>
        </w:rPr>
        <w:t>к Договору подряда</w:t>
      </w:r>
    </w:p>
    <w:p>
      <w:pPr>
        <w:pStyle w:val="Normal"/>
        <w:spacing w:lineRule="auto" w:line="240"/>
        <w:ind w:hanging="0" w:left="4820"/>
        <w:jc w:val="right"/>
        <w:rPr/>
      </w:pPr>
      <w:r>
        <w:rPr>
          <w:sz w:val="22"/>
          <w:szCs w:val="22"/>
        </w:rPr>
        <w:t xml:space="preserve">от «____» __________ 20 _ г. № ____ </w:t>
      </w:r>
    </w:p>
    <w:p>
      <w:pPr>
        <w:pStyle w:val="Normal"/>
        <w:spacing w:lineRule="auto" w:line="240"/>
        <w:ind w:hanging="0"/>
        <w:rPr>
          <w:b/>
          <w:sz w:val="24"/>
        </w:rPr>
      </w:pPr>
      <w:r>
        <w:rPr>
          <w:b/>
          <w:sz w:val="24"/>
        </w:rPr>
      </w:r>
    </w:p>
    <w:p>
      <w:pPr>
        <w:pStyle w:val="Normal"/>
        <w:spacing w:lineRule="auto" w:line="240"/>
        <w:ind w:firstLine="709"/>
        <w:jc w:val="center"/>
        <w:rPr>
          <w:b/>
          <w:bCs/>
          <w:sz w:val="24"/>
          <w:szCs w:val="24"/>
        </w:rPr>
      </w:pPr>
      <w:r>
        <w:rPr>
          <w:b/>
          <w:bCs/>
          <w:sz w:val="24"/>
          <w:szCs w:val="24"/>
        </w:rPr>
        <w:t>Размер ответственности Подрядчика за нарушения</w:t>
      </w:r>
    </w:p>
    <w:p>
      <w:pPr>
        <w:pStyle w:val="Normal"/>
        <w:spacing w:lineRule="auto" w:line="240"/>
        <w:ind w:firstLine="709"/>
        <w:jc w:val="center"/>
        <w:rPr>
          <w:b/>
          <w:bCs/>
          <w:sz w:val="24"/>
          <w:szCs w:val="24"/>
        </w:rPr>
      </w:pPr>
      <w:r>
        <w:rPr>
          <w:b/>
          <w:bCs/>
          <w:sz w:val="24"/>
          <w:szCs w:val="24"/>
        </w:rPr>
        <w:t>пропускного и внутриобъектового режима, требований охраны труда,</w:t>
      </w:r>
    </w:p>
    <w:p>
      <w:pPr>
        <w:pStyle w:val="Normal"/>
        <w:spacing w:lineRule="auto" w:line="240"/>
        <w:ind w:firstLine="709"/>
        <w:jc w:val="center"/>
        <w:rPr>
          <w:b/>
          <w:color w:val="000000"/>
          <w:sz w:val="24"/>
          <w:szCs w:val="24"/>
        </w:rPr>
      </w:pPr>
      <w:r>
        <w:rPr>
          <w:b/>
          <w:bCs/>
          <w:sz w:val="24"/>
          <w:szCs w:val="24"/>
        </w:rPr>
        <w:t>пожарной и промышленной безопасности</w:t>
      </w:r>
    </w:p>
    <w:p>
      <w:pPr>
        <w:pStyle w:val="Normal"/>
        <w:spacing w:lineRule="auto" w:line="240"/>
        <w:ind w:firstLine="709"/>
        <w:rPr>
          <w:b/>
          <w:sz w:val="24"/>
          <w:szCs w:val="24"/>
        </w:rPr>
      </w:pPr>
      <w:r>
        <w:rPr>
          <w:b/>
          <w:sz w:val="24"/>
          <w:szCs w:val="24"/>
        </w:rPr>
      </w:r>
    </w:p>
    <w:tbl>
      <w:tblPr>
        <w:tblW w:w="4850" w:type="pct"/>
        <w:jc w:val="left"/>
        <w:tblInd w:w="0" w:type="dxa"/>
        <w:tblLayout w:type="fixed"/>
        <w:tblCellMar>
          <w:top w:w="0" w:type="dxa"/>
          <w:left w:w="103" w:type="dxa"/>
          <w:bottom w:w="0" w:type="dxa"/>
          <w:right w:w="108" w:type="dxa"/>
        </w:tblCellMar>
        <w:tblLook w:val="01e0" w:noHBand="0" w:noVBand="0" w:firstColumn="1" w:lastRow="1" w:lastColumn="1" w:firstRow="1"/>
      </w:tblPr>
      <w:tblGrid>
        <w:gridCol w:w="3624"/>
        <w:gridCol w:w="5722"/>
      </w:tblGrid>
      <w:tr>
        <w:trPr/>
        <w:tc>
          <w:tcPr>
            <w:tcW w:w="36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b/>
                <w:sz w:val="24"/>
                <w:szCs w:val="24"/>
              </w:rPr>
            </w:pPr>
            <w:r>
              <w:rPr>
                <w:b/>
                <w:sz w:val="24"/>
                <w:szCs w:val="24"/>
              </w:rPr>
              <w:t>Виды нарушений</w:t>
            </w:r>
          </w:p>
        </w:tc>
        <w:tc>
          <w:tcPr>
            <w:tcW w:w="572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b/>
                <w:sz w:val="24"/>
                <w:szCs w:val="24"/>
              </w:rPr>
            </w:pPr>
            <w:r>
              <w:rPr>
                <w:b/>
                <w:sz w:val="24"/>
                <w:szCs w:val="24"/>
              </w:rPr>
              <w:t>Штрафные санкции</w:t>
            </w:r>
          </w:p>
        </w:tc>
      </w:tr>
      <w:tr>
        <w:trPr/>
        <w:tc>
          <w:tcPr>
            <w:tcW w:w="36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rPr>
              <w:t>1. Нарушение правил пожарной безопасности (ППБ):</w:t>
            </w:r>
          </w:p>
        </w:tc>
        <w:tc>
          <w:tcPr>
            <w:tcW w:w="572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firstLine="709"/>
              <w:rPr>
                <w:sz w:val="24"/>
                <w:szCs w:val="24"/>
              </w:rPr>
            </w:pPr>
            <w:r>
              <w:rPr>
                <w:sz w:val="24"/>
                <w:szCs w:val="24"/>
              </w:rPr>
            </w:r>
          </w:p>
        </w:tc>
      </w:tr>
      <w:tr>
        <w:trPr/>
        <w:tc>
          <w:tcPr>
            <w:tcW w:w="36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1.1. Нарушение ППБ без возникновения пожара</w:t>
            </w:r>
          </w:p>
          <w:p>
            <w:pPr>
              <w:pStyle w:val="Normal"/>
              <w:widowControl w:val="false"/>
              <w:spacing w:lineRule="auto" w:line="240"/>
              <w:ind w:hanging="0"/>
              <w:rPr>
                <w:b/>
                <w:sz w:val="24"/>
                <w:szCs w:val="24"/>
              </w:rPr>
            </w:pPr>
            <w:r>
              <w:rPr>
                <w:b/>
                <w:sz w:val="24"/>
                <w:szCs w:val="24"/>
              </w:rPr>
            </w:r>
          </w:p>
        </w:tc>
        <w:tc>
          <w:tcPr>
            <w:tcW w:w="572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left="0" w:right="0"/>
              <w:jc w:val="both"/>
              <w:rPr>
                <w:highlight w:val="none"/>
                <w:shd w:fill="auto" w:val="clear"/>
              </w:rPr>
            </w:pPr>
            <w:r>
              <w:rPr>
                <w:rFonts w:ascii="Liberation Serif" w:hAnsi="Liberation Serif"/>
                <w:sz w:val="24"/>
                <w:szCs w:val="24"/>
                <w:shd w:fill="auto" w:val="clear"/>
              </w:rPr>
              <w:t>100 000 (сто тысяч) рублей за каждый случай нарушения.</w:t>
            </w:r>
          </w:p>
          <w:p>
            <w:pPr>
              <w:pStyle w:val="Normal"/>
              <w:widowControl w:val="false"/>
              <w:spacing w:lineRule="auto" w:line="240"/>
              <w:ind w:hanging="0" w:left="0" w:right="0"/>
              <w:jc w:val="both"/>
              <w:rPr>
                <w:highlight w:val="none"/>
                <w:shd w:fill="auto" w:val="clear"/>
              </w:rPr>
            </w:pPr>
            <w:r>
              <w:rPr>
                <w:rFonts w:ascii="Liberation Serif" w:hAnsi="Liberation Serif"/>
                <w:sz w:val="24"/>
                <w:szCs w:val="24"/>
                <w:shd w:fill="auto" w:val="clear"/>
              </w:rPr>
              <w:t>Сумма штрафа, установленная настоящим пунктом, увеличивается на 50 (пятьдесят) % по отношению к предыдущему случаю за каждое следующее нарушение.</w:t>
            </w:r>
          </w:p>
        </w:tc>
      </w:tr>
      <w:tr>
        <w:trPr/>
        <w:tc>
          <w:tcPr>
            <w:tcW w:w="36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1.2. Нарушение ППБ, ставшее причиной возникновения пожара, не причинившего ущерб имуществу Заказчика</w:t>
            </w:r>
          </w:p>
        </w:tc>
        <w:tc>
          <w:tcPr>
            <w:tcW w:w="572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left="0" w:right="0"/>
              <w:jc w:val="both"/>
              <w:rPr>
                <w:highlight w:val="none"/>
                <w:shd w:fill="auto" w:val="clear"/>
              </w:rPr>
            </w:pPr>
            <w:r>
              <w:rPr>
                <w:rFonts w:ascii="Liberation Serif" w:hAnsi="Liberation Serif"/>
                <w:sz w:val="24"/>
                <w:szCs w:val="24"/>
                <w:shd w:fill="auto" w:val="clear"/>
              </w:rPr>
              <w:t>200 000 (двести тысяч) рублей за каждый случай нарушения.</w:t>
            </w:r>
          </w:p>
          <w:p>
            <w:pPr>
              <w:pStyle w:val="Normal"/>
              <w:widowControl w:val="false"/>
              <w:spacing w:lineRule="auto" w:line="240"/>
              <w:ind w:hanging="0" w:left="0" w:right="0"/>
              <w:jc w:val="both"/>
              <w:rPr>
                <w:highlight w:val="none"/>
                <w:shd w:fill="auto" w:val="clear"/>
              </w:rPr>
            </w:pPr>
            <w:r>
              <w:rPr>
                <w:rFonts w:ascii="Liberation Serif" w:hAnsi="Liberation Serif"/>
                <w:sz w:val="24"/>
                <w:szCs w:val="24"/>
                <w:shd w:fill="auto" w:val="clear"/>
              </w:rPr>
              <w:t>Сумма штрафа, установленная настоящим пунктом, увеличивается на 100 (сто) % по отношению к предыдущему случаю за каждое следующее нарушение.</w:t>
            </w:r>
          </w:p>
        </w:tc>
      </w:tr>
      <w:tr>
        <w:trPr/>
        <w:tc>
          <w:tcPr>
            <w:tcW w:w="36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sz w:val="24"/>
                <w:szCs w:val="24"/>
              </w:rPr>
            </w:pPr>
            <w:r>
              <w:rPr>
                <w:sz w:val="24"/>
                <w:szCs w:val="24"/>
              </w:rPr>
              <w:t>1.3. Нарушение ППБ, ставшее причиной возникновения пожара, причинившего ущерб имуществу Заказчика.</w:t>
            </w:r>
          </w:p>
        </w:tc>
        <w:tc>
          <w:tcPr>
            <w:tcW w:w="572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 xml:space="preserve"> </w:t>
            </w:r>
            <w:r>
              <w:rPr>
                <w:rFonts w:ascii="Liberation Serif" w:hAnsi="Liberation Serif"/>
                <w:sz w:val="24"/>
                <w:szCs w:val="24"/>
                <w:shd w:fill="auto" w:val="clear"/>
              </w:rPr>
              <w:t>500 000 (пятьсот тысяч) рублей за каждый случай нарушения.</w:t>
            </w:r>
          </w:p>
        </w:tc>
      </w:tr>
      <w:tr>
        <w:trPr>
          <w:trHeight w:val="1230" w:hRule="atLeast"/>
        </w:trPr>
        <w:tc>
          <w:tcPr>
            <w:tcW w:w="362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left="0" w:right="0"/>
              <w:rPr>
                <w:highlight w:val="none"/>
                <w:shd w:fill="auto" w:val="clear"/>
              </w:rPr>
            </w:pPr>
            <w:r>
              <w:rPr>
                <w:rFonts w:ascii="Liberation Serif" w:hAnsi="Liberation Serif"/>
                <w:b w:val="false"/>
                <w:bCs w:val="false"/>
                <w:sz w:val="24"/>
                <w:szCs w:val="24"/>
                <w:shd w:fill="auto" w:val="clear"/>
              </w:rPr>
              <w:t>2. Нарушение пропускного и внутриобъектового режима</w:t>
            </w:r>
            <w:r>
              <w:rPr>
                <w:rFonts w:ascii="Liberation Serif" w:hAnsi="Liberation Serif"/>
                <w:b w:val="false"/>
                <w:bCs w:val="false"/>
                <w:color w:val="000000"/>
                <w:sz w:val="24"/>
                <w:szCs w:val="24"/>
                <w:shd w:fill="auto" w:val="clear"/>
              </w:rPr>
              <w:t>, промышленной безопасности, охраны окружающей среды, санитарно-эпидемиологических правил и норм.</w:t>
            </w:r>
            <w:r>
              <w:rPr>
                <w:rFonts w:ascii="Liberation Serif" w:hAnsi="Liberation Serif"/>
                <w:b w:val="false"/>
                <w:bCs w:val="false"/>
                <w:sz w:val="24"/>
                <w:szCs w:val="24"/>
                <w:shd w:fill="auto" w:val="clear"/>
              </w:rPr>
              <w:t xml:space="preserve"> </w:t>
            </w:r>
          </w:p>
        </w:tc>
        <w:tc>
          <w:tcPr>
            <w:tcW w:w="572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rPr>
                <w:highlight w:val="none"/>
                <w:shd w:fill="auto" w:val="clear"/>
              </w:rPr>
            </w:pPr>
            <w:r>
              <w:rPr>
                <w:sz w:val="24"/>
                <w:szCs w:val="24"/>
                <w:shd w:fill="auto" w:val="clear"/>
              </w:rPr>
              <w:t>50 000 (пятьдесят тысяч) рублей за каждый случай нарушения;</w:t>
            </w:r>
          </w:p>
          <w:p>
            <w:pPr>
              <w:pStyle w:val="Normal"/>
              <w:widowControl w:val="false"/>
              <w:spacing w:lineRule="auto" w:line="240"/>
              <w:ind w:hanging="0"/>
              <w:rPr>
                <w:highlight w:val="none"/>
                <w:shd w:fill="auto" w:val="clear"/>
              </w:rPr>
            </w:pPr>
            <w:r>
              <w:rPr>
                <w:sz w:val="24"/>
                <w:szCs w:val="24"/>
                <w:shd w:fill="auto" w:val="clear"/>
              </w:rPr>
              <w:t xml:space="preserve">500 (пятьсот) рублей в случае утраты или приведения в негодность электронного пропуска, выданного Заказчиком. </w:t>
            </w:r>
          </w:p>
          <w:p>
            <w:pPr>
              <w:pStyle w:val="Normal"/>
              <w:widowControl w:val="false"/>
              <w:spacing w:lineRule="auto" w:line="240"/>
              <w:ind w:hanging="0"/>
              <w:rPr>
                <w:highlight w:val="none"/>
                <w:shd w:fill="auto" w:val="clear"/>
              </w:rPr>
            </w:pPr>
            <w:r>
              <w:rPr>
                <w:sz w:val="24"/>
                <w:szCs w:val="24"/>
                <w:shd w:fill="auto" w:val="clear"/>
              </w:rPr>
              <w:t>Сумма штрафа, установленная настоящим пунктом, увеличивается на 100 (сто) процентов по отношению к предыдущему случаю за каждое следующее нарушение.</w:t>
            </w:r>
          </w:p>
        </w:tc>
      </w:tr>
      <w:tr>
        <w:trPr/>
        <w:tc>
          <w:tcPr>
            <w:tcW w:w="3624" w:type="dxa"/>
            <w:tcBorders>
              <w:left w:val="single" w:sz="4" w:space="0" w:color="000001"/>
              <w:bottom w:val="single" w:sz="4" w:space="0" w:color="000001"/>
              <w:right w:val="single" w:sz="4" w:space="0" w:color="000001"/>
            </w:tcBorders>
            <w:shd w:fill="auto" w:val="clear"/>
          </w:tcPr>
          <w:p>
            <w:pPr>
              <w:pStyle w:val="Normal"/>
              <w:widowControl w:val="false"/>
              <w:spacing w:lineRule="auto" w:line="240"/>
              <w:ind w:hanging="0" w:left="0" w:right="0"/>
              <w:rPr>
                <w:highlight w:val="none"/>
                <w:shd w:fill="auto" w:val="clear"/>
              </w:rPr>
            </w:pPr>
            <w:r>
              <w:rPr>
                <w:rFonts w:ascii="Liberation Serif" w:hAnsi="Liberation Serif"/>
                <w:b w:val="false"/>
                <w:bCs w:val="false"/>
                <w:sz w:val="24"/>
                <w:szCs w:val="24"/>
                <w:shd w:fill="auto" w:val="clear"/>
              </w:rPr>
              <w:t xml:space="preserve">3. Нарушение </w:t>
            </w:r>
            <w:r>
              <w:rPr>
                <w:rFonts w:ascii="Liberation Serif" w:hAnsi="Liberation Serif"/>
                <w:b w:val="false"/>
                <w:bCs w:val="false"/>
                <w:color w:val="000000"/>
                <w:sz w:val="24"/>
                <w:szCs w:val="24"/>
                <w:shd w:fill="auto" w:val="clear"/>
              </w:rPr>
              <w:t>требований охраны труда</w:t>
            </w:r>
          </w:p>
        </w:tc>
        <w:tc>
          <w:tcPr>
            <w:tcW w:w="5722" w:type="dxa"/>
            <w:tcBorders>
              <w:left w:val="single" w:sz="4" w:space="0" w:color="000001"/>
              <w:bottom w:val="single" w:sz="4" w:space="0" w:color="000001"/>
              <w:right w:val="single" w:sz="4" w:space="0" w:color="000001"/>
            </w:tcBorders>
            <w:shd w:fill="auto" w:val="clear"/>
          </w:tcPr>
          <w:p>
            <w:pPr>
              <w:pStyle w:val="Normal"/>
              <w:widowControl w:val="false"/>
              <w:spacing w:lineRule="auto" w:line="240"/>
              <w:ind w:hanging="0" w:left="0" w:right="0"/>
              <w:rPr>
                <w:highlight w:val="none"/>
                <w:shd w:fill="auto" w:val="clear"/>
              </w:rPr>
            </w:pPr>
            <w:r>
              <w:rPr>
                <w:rFonts w:ascii="Liberation Serif" w:hAnsi="Liberation Serif"/>
                <w:sz w:val="24"/>
                <w:szCs w:val="24"/>
                <w:shd w:fill="auto" w:val="clear"/>
              </w:rPr>
              <w:t>100 000 (сто тысяч) рублей за каждый случай нарушения.</w:t>
            </w:r>
          </w:p>
          <w:p>
            <w:pPr>
              <w:pStyle w:val="Normal"/>
              <w:widowControl w:val="false"/>
              <w:spacing w:lineRule="auto" w:line="240"/>
              <w:ind w:hanging="0" w:left="0" w:right="0"/>
              <w:rPr>
                <w:highlight w:val="none"/>
                <w:shd w:fill="auto" w:val="clear"/>
              </w:rPr>
            </w:pPr>
            <w:r>
              <w:rPr>
                <w:rFonts w:ascii="Liberation Serif" w:hAnsi="Liberation Serif"/>
                <w:sz w:val="24"/>
                <w:szCs w:val="24"/>
                <w:shd w:fill="auto" w:val="clear"/>
              </w:rPr>
              <w:t>Сумма штрафа, установленная настоящим пунктом, увеличивается на 100% по отношению к предыдущему случаю за каждое следующее нарушение.</w:t>
            </w:r>
          </w:p>
        </w:tc>
      </w:tr>
    </w:tbl>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hanging="0" w:left="5103"/>
        <w:rPr>
          <w:sz w:val="24"/>
        </w:rPr>
      </w:pPr>
      <w:r>
        <w:rPr>
          <w:sz w:val="24"/>
        </w:rPr>
      </w:r>
    </w:p>
    <w:p>
      <w:pPr>
        <w:pStyle w:val="Normal"/>
        <w:spacing w:lineRule="auto" w:line="240"/>
        <w:ind w:firstLine="709"/>
        <w:rPr>
          <w:sz w:val="24"/>
        </w:rPr>
      </w:pPr>
      <w:r>
        <w:rPr>
          <w:sz w:val="24"/>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rPr>
            </w:pPr>
            <w:r>
              <w:rPr>
                <w:b/>
                <w:sz w:val="24"/>
              </w:rPr>
              <w:t>Заказчик:</w:t>
            </w:r>
          </w:p>
        </w:tc>
        <w:tc>
          <w:tcPr>
            <w:tcW w:w="4785" w:type="dxa"/>
            <w:tcBorders/>
            <w:shd w:fill="auto" w:val="clear"/>
          </w:tcPr>
          <w:p>
            <w:pPr>
              <w:pStyle w:val="Normal"/>
              <w:widowControl w:val="false"/>
              <w:spacing w:lineRule="auto" w:line="240"/>
              <w:ind w:hanging="0"/>
              <w:rPr>
                <w:b/>
                <w:sz w:val="24"/>
              </w:rPr>
            </w:pPr>
            <w:r>
              <w:rPr>
                <w:b/>
                <w:sz w:val="24"/>
              </w:rPr>
              <w:t>Подрядчик:</w:t>
            </w:r>
          </w:p>
        </w:tc>
      </w:tr>
      <w:tr>
        <w:trPr/>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c>
          <w:tcPr>
            <w:tcW w:w="4785" w:type="dxa"/>
            <w:tcBorders/>
            <w:shd w:fill="auto" w:val="clear"/>
          </w:tcPr>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r>
          </w:p>
          <w:p>
            <w:pPr>
              <w:pStyle w:val="Normal"/>
              <w:widowControl w:val="false"/>
              <w:spacing w:lineRule="auto" w:line="240"/>
              <w:ind w:hanging="0"/>
              <w:rPr>
                <w:sz w:val="22"/>
                <w:szCs w:val="22"/>
              </w:rPr>
            </w:pPr>
            <w:r>
              <w:rPr>
                <w:sz w:val="22"/>
                <w:szCs w:val="22"/>
              </w:rPr>
              <w:t xml:space="preserve">_______________ / _______________ </w:t>
            </w:r>
          </w:p>
          <w:p>
            <w:pPr>
              <w:pStyle w:val="Normal"/>
              <w:widowControl w:val="false"/>
              <w:spacing w:lineRule="auto" w:line="240"/>
              <w:ind w:hanging="0"/>
              <w:rPr>
                <w:sz w:val="22"/>
                <w:szCs w:val="22"/>
              </w:rPr>
            </w:pPr>
            <w:r>
              <w:rPr>
                <w:sz w:val="22"/>
                <w:szCs w:val="22"/>
              </w:rPr>
            </w:r>
          </w:p>
        </w:tc>
      </w:tr>
    </w:tbl>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p>
      <w:pPr>
        <w:pStyle w:val="Normal"/>
        <w:spacing w:lineRule="auto" w:line="240"/>
        <w:ind w:firstLine="709" w:left="5103"/>
        <w:rPr>
          <w:sz w:val="22"/>
          <w:szCs w:val="22"/>
        </w:rPr>
      </w:pPr>
      <w:r>
        <w:rPr>
          <w:sz w:val="22"/>
          <w:szCs w:val="22"/>
        </w:rPr>
      </w:r>
    </w:p>
    <w:tbl>
      <w:tblPr>
        <w:tblW w:w="9571" w:type="dxa"/>
        <w:jc w:val="left"/>
        <w:tblInd w:w="0" w:type="dxa"/>
        <w:tblLayout w:type="fixed"/>
        <w:tblCellMar>
          <w:top w:w="0" w:type="dxa"/>
          <w:left w:w="108" w:type="dxa"/>
          <w:bottom w:w="0" w:type="dxa"/>
          <w:right w:w="108" w:type="dxa"/>
        </w:tblCellMar>
        <w:tblLook w:val="04a0" w:noHBand="0" w:noVBand="1" w:firstColumn="1" w:lastRow="0" w:lastColumn="0" w:firstRow="1"/>
      </w:tblPr>
      <w:tblGrid>
        <w:gridCol w:w="4785"/>
        <w:gridCol w:w="4785"/>
      </w:tblGrid>
      <w:tr>
        <w:trPr/>
        <w:tc>
          <w:tcPr>
            <w:tcW w:w="4785" w:type="dxa"/>
            <w:tcBorders/>
            <w:shd w:fill="auto" w:val="clear"/>
          </w:tcPr>
          <w:p>
            <w:pPr>
              <w:pStyle w:val="Normal"/>
              <w:widowControl w:val="false"/>
              <w:snapToGrid w:val="false"/>
              <w:spacing w:lineRule="auto" w:line="240"/>
              <w:rPr>
                <w:b/>
                <w:bCs/>
                <w:szCs w:val="24"/>
              </w:rPr>
            </w:pPr>
            <w:r>
              <w:rPr>
                <w:b/>
                <w:bCs/>
                <w:szCs w:val="24"/>
              </w:rPr>
            </w:r>
          </w:p>
        </w:tc>
        <w:tc>
          <w:tcPr>
            <w:tcW w:w="4785" w:type="dxa"/>
            <w:tcBorders/>
            <w:shd w:fill="auto" w:val="clear"/>
          </w:tcPr>
          <w:p>
            <w:pPr>
              <w:pStyle w:val="Normal"/>
              <w:widowControl w:val="false"/>
              <w:shd w:val="clear" w:color="auto" w:fill="FFFFFF"/>
              <w:spacing w:lineRule="auto" w:line="240"/>
              <w:ind w:hanging="0" w:left="69"/>
              <w:jc w:val="right"/>
              <w:rPr/>
            </w:pPr>
            <w:r>
              <w:rPr>
                <w:bCs/>
                <w:sz w:val="22"/>
                <w:szCs w:val="22"/>
              </w:rPr>
              <w:t>Приложение № 6</w:t>
            </w:r>
          </w:p>
          <w:p>
            <w:pPr>
              <w:pStyle w:val="Normal"/>
              <w:widowControl w:val="false"/>
              <w:shd w:val="clear" w:color="auto" w:fill="FFFFFF"/>
              <w:spacing w:lineRule="auto" w:line="240"/>
              <w:ind w:hanging="0" w:left="69"/>
              <w:jc w:val="right"/>
              <w:rPr/>
            </w:pPr>
            <w:r>
              <w:rPr>
                <w:bCs/>
                <w:sz w:val="22"/>
                <w:szCs w:val="22"/>
              </w:rPr>
              <w:t xml:space="preserve">к Договору подряда </w:t>
            </w:r>
          </w:p>
          <w:p>
            <w:pPr>
              <w:pStyle w:val="Normal"/>
              <w:widowControl w:val="false"/>
              <w:shd w:val="clear" w:color="auto" w:fill="FFFFFF"/>
              <w:spacing w:lineRule="auto" w:line="240"/>
              <w:ind w:hanging="0" w:left="69"/>
              <w:jc w:val="right"/>
              <w:rPr/>
            </w:pPr>
            <w:r>
              <w:rPr>
                <w:bCs/>
                <w:sz w:val="22"/>
                <w:szCs w:val="22"/>
              </w:rPr>
              <w:t>от «___» ________20__ г. № ___</w:t>
            </w:r>
          </w:p>
          <w:p>
            <w:pPr>
              <w:pStyle w:val="Normal"/>
              <w:widowControl w:val="false"/>
              <w:snapToGrid w:val="false"/>
              <w:spacing w:lineRule="auto" w:line="240"/>
              <w:jc w:val="right"/>
              <w:rPr>
                <w:b/>
                <w:bCs/>
                <w:szCs w:val="24"/>
                <w:highlight w:val="lightGray"/>
              </w:rPr>
            </w:pPr>
            <w:r>
              <w:rPr>
                <w:b/>
                <w:bCs/>
                <w:szCs w:val="24"/>
                <w:highlight w:val="lightGray"/>
              </w:rPr>
            </w:r>
          </w:p>
        </w:tc>
      </w:tr>
    </w:tbl>
    <w:p>
      <w:pPr>
        <w:pStyle w:val="Normal"/>
        <w:shd w:val="clear" w:color="auto" w:fill="FFFFFF"/>
        <w:spacing w:lineRule="auto" w:line="240"/>
        <w:jc w:val="center"/>
        <w:rPr>
          <w:b/>
          <w:bCs/>
          <w:szCs w:val="24"/>
        </w:rPr>
      </w:pPr>
      <w:r>
        <w:rPr>
          <w:b/>
          <w:bCs/>
          <w:szCs w:val="24"/>
        </w:rPr>
        <w:t>Акт сдачи-приемки выполненных работ</w:t>
      </w:r>
    </w:p>
    <w:p>
      <w:pPr>
        <w:pStyle w:val="Normal"/>
        <w:shd w:val="clear" w:color="auto" w:fill="FFFFFF"/>
        <w:spacing w:lineRule="auto" w:line="240"/>
        <w:jc w:val="center"/>
        <w:rPr>
          <w:b/>
          <w:bCs/>
          <w:szCs w:val="24"/>
        </w:rPr>
      </w:pPr>
      <w:r>
        <w:rPr>
          <w:b/>
          <w:bCs/>
          <w:szCs w:val="24"/>
        </w:rPr>
        <w:t>(форма)</w:t>
      </w:r>
    </w:p>
    <w:p>
      <w:pPr>
        <w:pStyle w:val="Normal"/>
        <w:shd w:val="clear" w:color="auto" w:fill="FFFFFF"/>
        <w:spacing w:lineRule="auto" w:line="240"/>
        <w:jc w:val="center"/>
        <w:rPr>
          <w:b/>
          <w:bCs/>
          <w:szCs w:val="24"/>
        </w:rPr>
      </w:pPr>
      <w:r>
        <w:rPr>
          <w:b/>
          <w:bCs/>
          <w:szCs w:val="24"/>
        </w:rPr>
      </w:r>
    </w:p>
    <w:tbl>
      <w:tblPr>
        <w:tblW w:w="10070" w:type="dxa"/>
        <w:jc w:val="left"/>
        <w:tblInd w:w="-98" w:type="dxa"/>
        <w:tblLayout w:type="fixed"/>
        <w:tblCellMar>
          <w:top w:w="0" w:type="dxa"/>
          <w:left w:w="10" w:type="dxa"/>
          <w:bottom w:w="0" w:type="dxa"/>
          <w:right w:w="10" w:type="dxa"/>
        </w:tblCellMar>
        <w:tblLook w:val="04a0" w:noHBand="0" w:noVBand="1" w:firstColumn="1" w:lastRow="0" w:lastColumn="0" w:firstRow="1"/>
      </w:tblPr>
      <w:tblGrid>
        <w:gridCol w:w="26"/>
        <w:gridCol w:w="10043"/>
      </w:tblGrid>
      <w:tr>
        <w:trPr/>
        <w:tc>
          <w:tcPr>
            <w:tcW w:w="26" w:type="dxa"/>
            <w:tcBorders>
              <w:top w:val="single" w:sz="8" w:space="0" w:color="000001"/>
              <w:left w:val="single" w:sz="8" w:space="0" w:color="000001"/>
              <w:bottom w:val="single" w:sz="8" w:space="0" w:color="000001"/>
              <w:right w:val="single" w:sz="8" w:space="0" w:color="000001"/>
            </w:tcBorders>
            <w:shd w:fill="auto" w:val="clear"/>
          </w:tcPr>
          <w:p>
            <w:pPr>
              <w:pStyle w:val="Normal"/>
              <w:widowControl w:val="false"/>
              <w:spacing w:lineRule="auto" w:line="240"/>
              <w:jc w:val="center"/>
              <w:rPr>
                <w:b/>
                <w:bCs/>
                <w:szCs w:val="24"/>
              </w:rPr>
            </w:pPr>
            <w:r>
              <w:rPr>
                <w:b/>
                <w:bCs/>
                <w:szCs w:val="24"/>
              </w:rPr>
            </w:r>
          </w:p>
        </w:tc>
        <w:tc>
          <w:tcPr>
            <w:tcW w:w="10043" w:type="dxa"/>
            <w:tcBorders>
              <w:top w:val="single" w:sz="8" w:space="0" w:color="000001"/>
              <w:left w:val="single" w:sz="8" w:space="0" w:color="000001"/>
              <w:bottom w:val="single" w:sz="8" w:space="0" w:color="000001"/>
              <w:right w:val="single" w:sz="8" w:space="0" w:color="000001"/>
            </w:tcBorders>
            <w:shd w:fill="auto" w:val="clear"/>
            <w:tcMar>
              <w:left w:w="98" w:type="dxa"/>
              <w:right w:w="108" w:type="dxa"/>
            </w:tcMar>
          </w:tcPr>
          <w:p>
            <w:pPr>
              <w:pStyle w:val="Normal"/>
              <w:widowControl w:val="false"/>
              <w:spacing w:lineRule="auto" w:line="240"/>
              <w:jc w:val="center"/>
              <w:rPr>
                <w:b/>
                <w:bCs/>
                <w:szCs w:val="24"/>
              </w:rPr>
            </w:pPr>
            <w:r>
              <w:rPr>
                <w:b/>
                <w:bCs/>
                <w:szCs w:val="24"/>
              </w:rPr>
            </w:r>
          </w:p>
          <w:p>
            <w:pPr>
              <w:pStyle w:val="Normal"/>
              <w:widowControl w:val="false"/>
              <w:spacing w:lineRule="auto" w:line="240"/>
              <w:jc w:val="center"/>
              <w:rPr>
                <w:b/>
                <w:bCs/>
                <w:sz w:val="20"/>
                <w:szCs w:val="20"/>
              </w:rPr>
            </w:pPr>
            <w:r>
              <w:rPr>
                <w:b/>
                <w:bCs/>
                <w:sz w:val="20"/>
                <w:szCs w:val="20"/>
              </w:rPr>
              <w:t>АКТ СДАЧИ-ПРИЕМКИ ВЫПОЛНЕННЫХ РАБОТ №  _________</w:t>
            </w:r>
          </w:p>
          <w:tbl>
            <w:tblPr>
              <w:tblW w:w="9735"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1216"/>
              <w:gridCol w:w="2591"/>
              <w:gridCol w:w="1"/>
              <w:gridCol w:w="1257"/>
              <w:gridCol w:w="224"/>
              <w:gridCol w:w="588"/>
              <w:gridCol w:w="1401"/>
              <w:gridCol w:w="1"/>
              <w:gridCol w:w="1335"/>
              <w:gridCol w:w="1"/>
              <w:gridCol w:w="1118"/>
            </w:tblGrid>
            <w:tr>
              <w:trPr>
                <w:trHeight w:val="255" w:hRule="atLeast"/>
              </w:trPr>
              <w:tc>
                <w:tcPr>
                  <w:tcW w:w="9733" w:type="dxa"/>
                  <w:gridSpan w:val="11"/>
                  <w:tcBorders/>
                  <w:shd w:fill="auto" w:val="clear"/>
                  <w:vAlign w:val="bottom"/>
                </w:tcPr>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г.___________                                                                                       «_____» _________201_г.</w:t>
                  </w:r>
                </w:p>
                <w:tbl>
                  <w:tblPr>
                    <w:tblW w:w="9590" w:type="dxa"/>
                    <w:jc w:val="left"/>
                    <w:tblInd w:w="0" w:type="dxa"/>
                    <w:tblLayout w:type="fixed"/>
                    <w:tblCellMar>
                      <w:top w:w="15" w:type="dxa"/>
                      <w:left w:w="15" w:type="dxa"/>
                      <w:bottom w:w="0" w:type="dxa"/>
                      <w:right w:w="15" w:type="dxa"/>
                    </w:tblCellMar>
                    <w:tblLook w:val="04a0" w:noHBand="0" w:noVBand="1" w:firstColumn="1" w:lastRow="0" w:lastColumn="0" w:firstRow="1"/>
                  </w:tblPr>
                  <w:tblGrid>
                    <w:gridCol w:w="1356"/>
                    <w:gridCol w:w="8163"/>
                    <w:gridCol w:w="71"/>
                  </w:tblGrid>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p>
                        <w:pPr>
                          <w:pStyle w:val="Normal"/>
                          <w:widowControl w:val="false"/>
                          <w:snapToGrid w:val="false"/>
                          <w:spacing w:lineRule="auto" w:line="240"/>
                          <w:ind w:hanging="0"/>
                          <w:jc w:val="left"/>
                          <w:rPr>
                            <w:sz w:val="22"/>
                            <w:szCs w:val="22"/>
                          </w:rPr>
                        </w:pPr>
                        <w:r>
                          <w:rPr>
                            <w:sz w:val="22"/>
                            <w:szCs w:val="22"/>
                          </w:rPr>
                          <w:t xml:space="preserve">Заказчик: </w:t>
                        </w:r>
                      </w:p>
                    </w:tc>
                    <w:tc>
                      <w:tcPr>
                        <w:tcW w:w="8163" w:type="dxa"/>
                        <w:tcBorders>
                          <w:bottom w:val="single" w:sz="4" w:space="0" w:color="000001"/>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71" w:type="dxa"/>
                        <w:tcBorders/>
                        <w:shd w:fill="auto" w:val="clear"/>
                        <w:tcMar>
                          <w:top w:w="0" w:type="dxa"/>
                          <w:left w:w="0" w:type="dxa"/>
                          <w:right w:w="0" w:type="dxa"/>
                        </w:tcMar>
                      </w:tcPr>
                      <w:p>
                        <w:pPr>
                          <w:pStyle w:val="Normal"/>
                          <w:widowControl w:val="false"/>
                          <w:rPr>
                            <w:sz w:val="22"/>
                            <w:szCs w:val="22"/>
                          </w:rPr>
                        </w:pPr>
                        <w:r>
                          <w:rPr>
                            <w:sz w:val="22"/>
                            <w:szCs w:val="22"/>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top w:val="single" w:sz="4" w:space="0" w:color="000001"/>
                        </w:tcBorders>
                        <w:shd w:fill="auto" w:val="clear"/>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t xml:space="preserve">Подрядчик: </w:t>
                        </w:r>
                      </w:p>
                    </w:tc>
                    <w:tc>
                      <w:tcPr>
                        <w:tcW w:w="8234" w:type="dxa"/>
                        <w:gridSpan w:val="2"/>
                        <w:tcBorders>
                          <w:bottom w:val="single" w:sz="4" w:space="0" w:color="000001"/>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r>
                  <w:tr>
                    <w:trPr>
                      <w:trHeight w:val="255" w:hRule="atLeast"/>
                    </w:trPr>
                    <w:tc>
                      <w:tcPr>
                        <w:tcW w:w="1356" w:type="dxa"/>
                        <w:tcBorders/>
                        <w:shd w:fill="auto" w:val="clear"/>
                        <w:vAlign w:val="bottom"/>
                      </w:tcPr>
                      <w:p>
                        <w:pPr>
                          <w:pStyle w:val="Normal"/>
                          <w:widowControl w:val="false"/>
                          <w:snapToGrid w:val="false"/>
                          <w:spacing w:lineRule="auto" w:line="240"/>
                          <w:ind w:hanging="0"/>
                          <w:jc w:val="left"/>
                          <w:rPr>
                            <w:sz w:val="22"/>
                            <w:szCs w:val="22"/>
                          </w:rPr>
                        </w:pPr>
                        <w:r>
                          <w:rPr>
                            <w:sz w:val="22"/>
                            <w:szCs w:val="22"/>
                          </w:rPr>
                        </w:r>
                      </w:p>
                    </w:tc>
                    <w:tc>
                      <w:tcPr>
                        <w:tcW w:w="8234" w:type="dxa"/>
                        <w:gridSpan w:val="2"/>
                        <w:tcBorders/>
                        <w:shd w:fill="auto" w:val="clear"/>
                      </w:tcPr>
                      <w:p>
                        <w:pPr>
                          <w:pStyle w:val="Normal"/>
                          <w:widowControl w:val="false"/>
                          <w:snapToGrid w:val="false"/>
                          <w:spacing w:lineRule="auto" w:line="240"/>
                          <w:ind w:hanging="0"/>
                          <w:jc w:val="center"/>
                          <w:rPr>
                            <w:sz w:val="22"/>
                            <w:szCs w:val="22"/>
                          </w:rPr>
                        </w:pPr>
                        <w:r>
                          <w:rPr>
                            <w:i/>
                            <w:iCs/>
                            <w:sz w:val="22"/>
                            <w:szCs w:val="22"/>
                          </w:rPr>
                          <w:t>(наименование организации, адрес, телефон, факс</w:t>
                        </w:r>
                        <w:r>
                          <w:rPr>
                            <w:sz w:val="22"/>
                            <w:szCs w:val="22"/>
                          </w:rPr>
                          <w:t>, ИНН, КПП, ОГРН</w:t>
                        </w:r>
                        <w:r>
                          <w:rPr>
                            <w:i/>
                            <w:iCs/>
                            <w:sz w:val="22"/>
                            <w:szCs w:val="22"/>
                          </w:rPr>
                          <w:t>)</w:t>
                        </w:r>
                      </w:p>
                    </w:tc>
                  </w:tr>
                </w:tbl>
                <w:p>
                  <w:pPr>
                    <w:pStyle w:val="Normal"/>
                    <w:widowControl w:val="false"/>
                    <w:spacing w:lineRule="auto" w:line="240"/>
                    <w:ind w:hanging="0"/>
                    <w:rPr>
                      <w:sz w:val="20"/>
                      <w:szCs w:val="20"/>
                    </w:rPr>
                  </w:pPr>
                  <w:r>
                    <w:rPr>
                      <w:sz w:val="20"/>
                      <w:szCs w:val="20"/>
                    </w:rPr>
                  </w:r>
                </w:p>
                <w:p>
                  <w:pPr>
                    <w:pStyle w:val="Normal"/>
                    <w:widowControl w:val="false"/>
                    <w:spacing w:lineRule="auto" w:line="240"/>
                    <w:ind w:hanging="0"/>
                    <w:rPr>
                      <w:sz w:val="20"/>
                      <w:szCs w:val="20"/>
                    </w:rPr>
                  </w:pPr>
                  <w:r>
                    <w:rPr>
                      <w:sz w:val="20"/>
                      <w:szCs w:val="20"/>
                    </w:rPr>
                    <w:t>составили настоящий акт о нижеследующем:</w:t>
                  </w:r>
                </w:p>
                <w:p>
                  <w:pPr>
                    <w:pStyle w:val="Normal"/>
                    <w:widowControl w:val="false"/>
                    <w:spacing w:lineRule="auto" w:line="240"/>
                    <w:ind w:hanging="0"/>
                    <w:rPr>
                      <w:sz w:val="20"/>
                      <w:szCs w:val="20"/>
                    </w:rPr>
                  </w:pPr>
                  <w:r>
                    <w:rPr>
                      <w:sz w:val="20"/>
                      <w:szCs w:val="20"/>
                    </w:rPr>
                  </w:r>
                </w:p>
                <w:p>
                  <w:pPr>
                    <w:pStyle w:val="Normal"/>
                    <w:widowControl w:val="false"/>
                    <w:spacing w:lineRule="auto" w:line="240"/>
                    <w:rPr>
                      <w:sz w:val="20"/>
                      <w:szCs w:val="20"/>
                    </w:rPr>
                  </w:pPr>
                  <w:r>
                    <w:rPr>
                      <w:sz w:val="20"/>
                      <w:szCs w:val="20"/>
                    </w:rPr>
                  </w:r>
                </w:p>
              </w:tc>
            </w:tr>
            <w:tr>
              <w:trPr>
                <w:trHeight w:val="255" w:hRule="atLeast"/>
              </w:trPr>
              <w:tc>
                <w:tcPr>
                  <w:tcW w:w="9733" w:type="dxa"/>
                  <w:gridSpan w:val="11"/>
                  <w:tcBorders/>
                  <w:shd w:fill="auto" w:val="clear"/>
                  <w:vAlign w:val="bottom"/>
                </w:tcPr>
                <w:p>
                  <w:pPr>
                    <w:pStyle w:val="Normal"/>
                    <w:widowControl w:val="false"/>
                    <w:snapToGrid w:val="false"/>
                    <w:spacing w:lineRule="auto" w:line="240"/>
                    <w:rPr>
                      <w:sz w:val="20"/>
                      <w:szCs w:val="20"/>
                    </w:rPr>
                  </w:pPr>
                  <w:r>
                    <w:rPr>
                      <w:sz w:val="20"/>
                      <w:szCs w:val="20"/>
                    </w:rPr>
                    <w:t>Сметная (договорная) стоимость по договору № _____  от  _________ 200__ г.  -  ___________ руб.</w:t>
                  </w:r>
                </w:p>
                <w:p>
                  <w:pPr>
                    <w:pStyle w:val="Normal"/>
                    <w:widowControl w:val="false"/>
                    <w:snapToGrid w:val="false"/>
                    <w:spacing w:lineRule="auto" w:line="240"/>
                    <w:rPr>
                      <w:i/>
                      <w:i/>
                      <w:iCs/>
                      <w:sz w:val="20"/>
                      <w:szCs w:val="20"/>
                    </w:rPr>
                  </w:pPr>
                  <w:r>
                    <w:rPr>
                      <w:i/>
                      <w:iCs/>
                      <w:sz w:val="20"/>
                      <w:szCs w:val="20"/>
                    </w:rPr>
                    <w:t xml:space="preserve"> </w:t>
                  </w:r>
                </w:p>
              </w:tc>
            </w:tr>
            <w:tr>
              <w:trPr>
                <w:trHeight w:val="255" w:hRule="atLeast"/>
              </w:trPr>
              <w:tc>
                <w:tcPr>
                  <w:tcW w:w="5289" w:type="dxa"/>
                  <w:gridSpan w:val="5"/>
                  <w:tcBorders/>
                  <w:shd w:fill="auto" w:val="clear"/>
                  <w:vAlign w:val="bottom"/>
                </w:tcPr>
                <w:p>
                  <w:pPr>
                    <w:pStyle w:val="Normal"/>
                    <w:widowControl w:val="false"/>
                    <w:spacing w:lineRule="auto" w:line="240"/>
                    <w:rPr>
                      <w:sz w:val="20"/>
                      <w:szCs w:val="20"/>
                    </w:rPr>
                  </w:pPr>
                  <w:r>
                    <w:rPr>
                      <w:sz w:val="20"/>
                      <w:szCs w:val="20"/>
                    </w:rPr>
                  </w:r>
                </w:p>
                <w:p>
                  <w:pPr>
                    <w:pStyle w:val="Normal"/>
                    <w:widowControl w:val="false"/>
                    <w:snapToGrid w:val="false"/>
                    <w:spacing w:lineRule="auto" w:line="240"/>
                    <w:rPr>
                      <w:sz w:val="20"/>
                      <w:szCs w:val="20"/>
                    </w:rPr>
                  </w:pPr>
                  <w:r>
                    <w:rPr>
                      <w:sz w:val="20"/>
                      <w:szCs w:val="20"/>
                    </w:rPr>
                  </w:r>
                </w:p>
              </w:tc>
              <w:tc>
                <w:tcPr>
                  <w:tcW w:w="4444" w:type="dxa"/>
                  <w:gridSpan w:val="6"/>
                  <w:tcBorders/>
                  <w:shd w:fill="auto" w:val="clear"/>
                  <w:tcMar>
                    <w:top w:w="0" w:type="dxa"/>
                    <w:left w:w="0" w:type="dxa"/>
                    <w:right w:w="0" w:type="dxa"/>
                  </w:tcMar>
                </w:tcPr>
                <w:p>
                  <w:pPr>
                    <w:pStyle w:val="Normal"/>
                    <w:widowControl w:val="false"/>
                    <w:snapToGrid w:val="false"/>
                    <w:spacing w:lineRule="auto" w:line="240"/>
                    <w:ind w:firstLine="567" w:right="180"/>
                    <w:jc w:val="right"/>
                    <w:rPr>
                      <w:sz w:val="20"/>
                      <w:szCs w:val="20"/>
                    </w:rPr>
                  </w:pPr>
                  <w:r>
                    <w:rPr>
                      <w:sz w:val="20"/>
                      <w:szCs w:val="20"/>
                    </w:rPr>
                    <w:t xml:space="preserve">                </w:t>
                  </w:r>
                </w:p>
              </w:tc>
            </w:tr>
            <w:tr>
              <w:trPr>
                <w:cantSplit w:val="true"/>
              </w:trPr>
              <w:tc>
                <w:tcPr>
                  <w:tcW w:w="1216" w:type="dxa"/>
                  <w:tcBorders/>
                  <w:shd w:fill="auto" w:val="clear"/>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0" w:type="dxa"/>
                  <w:tcBorders>
                    <w:top w:val="single" w:sz="8" w:space="0" w:color="000001"/>
                    <w:left w:val="single" w:sz="8" w:space="0" w:color="000001"/>
                    <w:bottom w:val="single" w:sz="8" w:space="0" w:color="000001"/>
                    <w:right w:val="single" w:sz="8" w:space="0" w:color="000001"/>
                  </w:tcBorders>
                  <w:shd w:fill="auto" w:val="clear"/>
                  <w:tcMar>
                    <w:top w:w="0" w:type="dxa"/>
                    <w:left w:w="9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 xml:space="preserve">№ </w:t>
                  </w:r>
                  <w:r>
                    <w:rPr>
                      <w:b/>
                      <w:bCs/>
                      <w:sz w:val="20"/>
                      <w:szCs w:val="20"/>
                    </w:rPr>
                    <w:t>п/п</w:t>
                  </w:r>
                </w:p>
              </w:tc>
              <w:tc>
                <w:tcPr>
                  <w:tcW w:w="2592" w:type="dxa"/>
                  <w:gridSpan w:val="2"/>
                  <w:vMerge w:val="restart"/>
                  <w:tcBorders>
                    <w:top w:val="single" w:sz="8" w:space="0" w:color="000001"/>
                    <w:bottom w:val="single" w:sz="8" w:space="0" w:color="000001"/>
                    <w:right w:val="single" w:sz="8" w:space="0" w:color="000001"/>
                  </w:tcBorders>
                  <w:shd w:fill="auto" w:val="clear"/>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Наименование работ</w:t>
                  </w:r>
                </w:p>
              </w:tc>
              <w:tc>
                <w:tcPr>
                  <w:tcW w:w="5925" w:type="dxa"/>
                  <w:gridSpan w:val="8"/>
                  <w:tcBorders>
                    <w:top w:val="single" w:sz="8" w:space="0" w:color="000001"/>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Выполнено работ</w:t>
                  </w:r>
                </w:p>
              </w:tc>
            </w:tr>
            <w:tr>
              <w:trPr>
                <w:trHeight w:val="693" w:hRule="atLeast"/>
                <w:cantSplit w:val="true"/>
              </w:trPr>
              <w:tc>
                <w:tcPr>
                  <w:tcW w:w="1216" w:type="dxa"/>
                  <w:tcBorders/>
                  <w:shd w:fill="auto" w:val="clear"/>
                  <w:tcMar>
                    <w:top w:w="0" w:type="dxa"/>
                    <w:left w:w="0" w:type="dxa"/>
                    <w:right w:w="0" w:type="dxa"/>
                  </w:tcMar>
                </w:tcPr>
                <w:p>
                  <w:pPr>
                    <w:pStyle w:val="Normal"/>
                    <w:widowControl w:val="false"/>
                    <w:spacing w:lineRule="auto" w:line="240"/>
                    <w:ind w:hanging="0"/>
                    <w:rPr>
                      <w:b/>
                      <w:bCs/>
                      <w:sz w:val="20"/>
                      <w:szCs w:val="20"/>
                    </w:rPr>
                  </w:pPr>
                  <w:r>
                    <w:rPr>
                      <w:b/>
                      <w:bCs/>
                      <w:sz w:val="20"/>
                      <w:szCs w:val="20"/>
                    </w:rPr>
                  </w:r>
                </w:p>
              </w:tc>
              <w:tc>
                <w:tcPr>
                  <w:tcW w:w="0" w:type="dxa"/>
                  <w:vMerge w:val="continue"/>
                  <w:tcBorders>
                    <w:top w:val="single" w:sz="8" w:space="0" w:color="000001"/>
                    <w:left w:val="single" w:sz="8" w:space="0" w:color="000001"/>
                    <w:bottom w:val="single" w:sz="8" w:space="0" w:color="000001"/>
                    <w:right w:val="single" w:sz="8" w:space="0" w:color="000001"/>
                  </w:tcBorders>
                  <w:shd w:fill="auto" w:val="clear"/>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2592" w:type="dxa"/>
                  <w:gridSpan w:val="2"/>
                  <w:vMerge w:val="continue"/>
                  <w:tcBorders>
                    <w:top w:val="single" w:sz="8" w:space="0" w:color="000001"/>
                    <w:bottom w:val="single" w:sz="8" w:space="0" w:color="000001"/>
                    <w:right w:val="single" w:sz="8" w:space="0" w:color="000001"/>
                  </w:tcBorders>
                  <w:shd w:fill="auto" w:val="clear"/>
                  <w:tcMar>
                    <w:top w:w="0" w:type="dxa"/>
                    <w:left w:w="0" w:type="dxa"/>
                    <w:right w:w="0" w:type="dxa"/>
                  </w:tcMar>
                  <w:vAlign w:val="center"/>
                </w:tcPr>
                <w:p>
                  <w:pPr>
                    <w:pStyle w:val="Normal"/>
                    <w:widowControl w:val="false"/>
                    <w:spacing w:lineRule="auto" w:line="240"/>
                    <w:ind w:hanging="0"/>
                    <w:rPr>
                      <w:b/>
                      <w:bCs/>
                      <w:sz w:val="20"/>
                      <w:szCs w:val="20"/>
                    </w:rPr>
                  </w:pPr>
                  <w:r>
                    <w:rPr>
                      <w:b/>
                      <w:bCs/>
                      <w:sz w:val="20"/>
                      <w:szCs w:val="20"/>
                    </w:rPr>
                  </w:r>
                </w:p>
              </w:tc>
              <w:tc>
                <w:tcPr>
                  <w:tcW w:w="1257" w:type="dxa"/>
                  <w:tcBorders>
                    <w:bottom w:val="single" w:sz="8" w:space="0" w:color="000001"/>
                    <w:right w:val="single" w:sz="8" w:space="0" w:color="000001"/>
                  </w:tcBorders>
                  <w:shd w:fill="auto" w:val="clear"/>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ед. </w:t>
                  </w:r>
                </w:p>
                <w:p>
                  <w:pPr>
                    <w:pStyle w:val="Normal"/>
                    <w:widowControl w:val="false"/>
                    <w:snapToGrid w:val="false"/>
                    <w:spacing w:lineRule="auto" w:line="240"/>
                    <w:ind w:hanging="0"/>
                    <w:jc w:val="center"/>
                    <w:rPr>
                      <w:b/>
                      <w:bCs/>
                      <w:sz w:val="20"/>
                      <w:szCs w:val="20"/>
                    </w:rPr>
                  </w:pPr>
                  <w:r>
                    <w:rPr>
                      <w:b/>
                      <w:bCs/>
                      <w:sz w:val="20"/>
                      <w:szCs w:val="20"/>
                    </w:rPr>
                    <w:t>изм.</w:t>
                  </w:r>
                </w:p>
              </w:tc>
              <w:tc>
                <w:tcPr>
                  <w:tcW w:w="812" w:type="dxa"/>
                  <w:gridSpan w:val="2"/>
                  <w:tcBorders>
                    <w:bottom w:val="single" w:sz="8" w:space="0" w:color="000001"/>
                    <w:right w:val="single" w:sz="8" w:space="0" w:color="000001"/>
                  </w:tcBorders>
                  <w:shd w:fill="auto" w:val="clear"/>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коли-чество</w:t>
                  </w:r>
                </w:p>
              </w:tc>
              <w:tc>
                <w:tcPr>
                  <w:tcW w:w="1401" w:type="dxa"/>
                  <w:tcBorders>
                    <w:bottom w:val="single" w:sz="8" w:space="0" w:color="000001"/>
                    <w:right w:val="single" w:sz="8" w:space="0" w:color="000001"/>
                  </w:tcBorders>
                  <w:shd w:fill="auto" w:val="clear"/>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цена за </w:t>
                  </w:r>
                </w:p>
                <w:p>
                  <w:pPr>
                    <w:pStyle w:val="Normal"/>
                    <w:widowControl w:val="false"/>
                    <w:snapToGrid w:val="false"/>
                    <w:spacing w:lineRule="auto" w:line="240"/>
                    <w:ind w:hanging="0"/>
                    <w:jc w:val="center"/>
                    <w:rPr>
                      <w:b/>
                      <w:bCs/>
                      <w:sz w:val="20"/>
                      <w:szCs w:val="20"/>
                    </w:rPr>
                  </w:pPr>
                  <w:r>
                    <w:rPr>
                      <w:b/>
                      <w:bCs/>
                      <w:sz w:val="20"/>
                      <w:szCs w:val="20"/>
                    </w:rPr>
                    <w:t>1 ед., руб.</w:t>
                  </w:r>
                </w:p>
              </w:tc>
              <w:tc>
                <w:tcPr>
                  <w:tcW w:w="1337" w:type="dxa"/>
                  <w:gridSpan w:val="3"/>
                  <w:tcBorders>
                    <w:bottom w:val="single" w:sz="8" w:space="0" w:color="000001"/>
                    <w:right w:val="single" w:sz="8" w:space="0" w:color="000001"/>
                  </w:tcBorders>
                  <w:shd w:fill="auto" w:val="clear"/>
                  <w:tcMar>
                    <w:top w:w="0" w:type="dxa"/>
                    <w:left w:w="108" w:type="dxa"/>
                    <w:right w:w="108" w:type="dxa"/>
                  </w:tcMar>
                  <w:vAlign w:val="center"/>
                </w:tcPr>
                <w:p>
                  <w:pPr>
                    <w:pStyle w:val="Normal"/>
                    <w:widowControl w:val="false"/>
                    <w:spacing w:lineRule="auto" w:line="240"/>
                    <w:ind w:hanging="0"/>
                    <w:jc w:val="center"/>
                    <w:rPr>
                      <w:b/>
                      <w:bCs/>
                      <w:sz w:val="20"/>
                      <w:szCs w:val="20"/>
                    </w:rPr>
                  </w:pPr>
                  <w:r>
                    <w:rPr>
                      <w:b/>
                      <w:bCs/>
                      <w:sz w:val="20"/>
                      <w:szCs w:val="20"/>
                    </w:rPr>
                    <w:t xml:space="preserve">стоимость, </w:t>
                  </w:r>
                </w:p>
                <w:p>
                  <w:pPr>
                    <w:pStyle w:val="Normal"/>
                    <w:widowControl w:val="false"/>
                    <w:snapToGrid w:val="false"/>
                    <w:spacing w:lineRule="auto" w:line="240"/>
                    <w:ind w:hanging="0"/>
                    <w:jc w:val="center"/>
                    <w:rPr>
                      <w:b/>
                      <w:bCs/>
                      <w:sz w:val="20"/>
                      <w:szCs w:val="20"/>
                    </w:rPr>
                  </w:pPr>
                  <w:r>
                    <w:rPr>
                      <w:b/>
                      <w:bCs/>
                      <w:sz w:val="20"/>
                      <w:szCs w:val="20"/>
                    </w:rPr>
                    <w:t>руб.</w:t>
                  </w:r>
                </w:p>
              </w:tc>
              <w:tc>
                <w:tcPr>
                  <w:tcW w:w="1118" w:type="dxa"/>
                  <w:tcBorders>
                    <w:bottom w:val="single" w:sz="8" w:space="0" w:color="000001"/>
                    <w:right w:val="single" w:sz="8" w:space="0" w:color="000001"/>
                  </w:tcBorders>
                  <w:shd w:fill="auto" w:val="clear"/>
                  <w:tcMar>
                    <w:top w:w="0" w:type="dxa"/>
                    <w:left w:w="108" w:type="dxa"/>
                    <w:right w:w="108" w:type="dxa"/>
                  </w:tcMar>
                  <w:vAlign w:val="center"/>
                </w:tcPr>
                <w:p>
                  <w:pPr>
                    <w:pStyle w:val="Normal"/>
                    <w:widowControl w:val="false"/>
                    <w:snapToGrid w:val="false"/>
                    <w:spacing w:lineRule="auto" w:line="240"/>
                    <w:ind w:hanging="0"/>
                    <w:jc w:val="center"/>
                    <w:rPr>
                      <w:b/>
                      <w:bCs/>
                      <w:sz w:val="20"/>
                      <w:szCs w:val="20"/>
                    </w:rPr>
                  </w:pPr>
                  <w:r>
                    <w:rPr>
                      <w:b/>
                      <w:bCs/>
                      <w:sz w:val="20"/>
                      <w:szCs w:val="20"/>
                    </w:rPr>
                    <w:t>в т.ч. НДС, руб.</w:t>
                  </w:r>
                </w:p>
              </w:tc>
            </w:tr>
            <w:tr>
              <w:trPr/>
              <w:tc>
                <w:tcPr>
                  <w:tcW w:w="1216" w:type="dxa"/>
                  <w:tcBorders/>
                  <w:shd w:fill="auto" w:val="clear"/>
                  <w:tcMar>
                    <w:top w:w="0" w:type="dxa"/>
                    <w:left w:w="0" w:type="dxa"/>
                    <w:right w:w="0" w:type="dxa"/>
                  </w:tcMar>
                </w:tcPr>
                <w:p>
                  <w:pPr>
                    <w:pStyle w:val="Normal"/>
                    <w:widowControl w:val="false"/>
                    <w:snapToGrid w:val="false"/>
                    <w:spacing w:lineRule="auto" w:line="240"/>
                    <w:ind w:hanging="0"/>
                    <w:jc w:val="center"/>
                    <w:rPr>
                      <w:b/>
                      <w:bCs/>
                      <w:sz w:val="20"/>
                      <w:szCs w:val="20"/>
                    </w:rPr>
                  </w:pPr>
                  <w:r>
                    <w:rPr>
                      <w:b/>
                      <w:bCs/>
                      <w:sz w:val="20"/>
                      <w:szCs w:val="20"/>
                    </w:rPr>
                  </w:r>
                </w:p>
              </w:tc>
              <w:tc>
                <w:tcPr>
                  <w:tcW w:w="0" w:type="dxa"/>
                  <w:tcBorders>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ind w:hanging="0"/>
                    <w:jc w:val="center"/>
                    <w:rPr>
                      <w:b/>
                      <w:bCs/>
                      <w:sz w:val="20"/>
                      <w:szCs w:val="20"/>
                    </w:rPr>
                  </w:pPr>
                  <w:r>
                    <w:rPr>
                      <w:b/>
                      <w:bCs/>
                      <w:sz w:val="20"/>
                      <w:szCs w:val="20"/>
                    </w:rPr>
                    <w:t>1</w:t>
                  </w:r>
                </w:p>
              </w:tc>
              <w:tc>
                <w:tcPr>
                  <w:tcW w:w="2592"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2</w:t>
                  </w:r>
                </w:p>
              </w:tc>
              <w:tc>
                <w:tcPr>
                  <w:tcW w:w="1257"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3</w:t>
                  </w:r>
                </w:p>
              </w:tc>
              <w:tc>
                <w:tcPr>
                  <w:tcW w:w="812"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4</w:t>
                  </w:r>
                </w:p>
              </w:tc>
              <w:tc>
                <w:tcPr>
                  <w:tcW w:w="1401"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5</w:t>
                  </w:r>
                </w:p>
              </w:tc>
              <w:tc>
                <w:tcPr>
                  <w:tcW w:w="1337" w:type="dxa"/>
                  <w:gridSpan w:val="3"/>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6</w:t>
                  </w:r>
                </w:p>
              </w:tc>
              <w:tc>
                <w:tcPr>
                  <w:tcW w:w="1118"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ind w:hanging="0"/>
                    <w:jc w:val="center"/>
                    <w:rPr>
                      <w:b/>
                      <w:bCs/>
                      <w:sz w:val="20"/>
                      <w:szCs w:val="20"/>
                    </w:rPr>
                  </w:pPr>
                  <w:r>
                    <w:rPr>
                      <w:b/>
                      <w:bCs/>
                      <w:sz w:val="20"/>
                      <w:szCs w:val="20"/>
                    </w:rPr>
                    <w:t>7</w:t>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jc w:val="center"/>
                    <w:rPr>
                      <w:sz w:val="20"/>
                      <w:szCs w:val="20"/>
                    </w:rPr>
                  </w:pPr>
                  <w:r>
                    <w:rPr>
                      <w:sz w:val="20"/>
                      <w:szCs w:val="20"/>
                    </w:rPr>
                  </w:r>
                </w:p>
              </w:tc>
              <w:tc>
                <w:tcPr>
                  <w:tcW w:w="2592"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57"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2"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401"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7" w:type="dxa"/>
                  <w:gridSpan w:val="3"/>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18"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jc w:val="center"/>
                    <w:rPr>
                      <w:sz w:val="20"/>
                      <w:szCs w:val="20"/>
                    </w:rPr>
                  </w:pPr>
                  <w:r>
                    <w:rPr>
                      <w:sz w:val="20"/>
                      <w:szCs w:val="20"/>
                    </w:rPr>
                  </w:r>
                </w:p>
              </w:tc>
              <w:tc>
                <w:tcPr>
                  <w:tcW w:w="2592"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57"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2"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401"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7" w:type="dxa"/>
                  <w:gridSpan w:val="3"/>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18"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jc w:val="center"/>
                    <w:rPr>
                      <w:sz w:val="20"/>
                      <w:szCs w:val="20"/>
                    </w:rPr>
                  </w:pPr>
                  <w:r>
                    <w:rPr>
                      <w:sz w:val="20"/>
                      <w:szCs w:val="20"/>
                    </w:rPr>
                  </w:r>
                </w:p>
              </w:tc>
              <w:tc>
                <w:tcPr>
                  <w:tcW w:w="0" w:type="dxa"/>
                  <w:tcBorders>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jc w:val="center"/>
                    <w:rPr>
                      <w:sz w:val="20"/>
                      <w:szCs w:val="20"/>
                    </w:rPr>
                  </w:pPr>
                  <w:r>
                    <w:rPr>
                      <w:sz w:val="20"/>
                      <w:szCs w:val="20"/>
                    </w:rPr>
                  </w:r>
                </w:p>
              </w:tc>
              <w:tc>
                <w:tcPr>
                  <w:tcW w:w="2592"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257"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812"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401"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337" w:type="dxa"/>
                  <w:gridSpan w:val="3"/>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18"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r>
            <w:tr>
              <w:trPr/>
              <w:tc>
                <w:tcPr>
                  <w:tcW w:w="1216" w:type="dxa"/>
                  <w:tcBorders/>
                  <w:shd w:fill="auto" w:val="clear"/>
                  <w:tcMar>
                    <w:top w:w="0" w:type="dxa"/>
                    <w:left w:w="0" w:type="dxa"/>
                    <w:right w:w="0" w:type="dxa"/>
                  </w:tcMar>
                </w:tcPr>
                <w:p>
                  <w:pPr>
                    <w:pStyle w:val="Normal"/>
                    <w:widowControl w:val="false"/>
                    <w:snapToGrid w:val="false"/>
                    <w:spacing w:lineRule="auto" w:line="240"/>
                    <w:rPr>
                      <w:sz w:val="20"/>
                      <w:szCs w:val="20"/>
                    </w:rPr>
                  </w:pPr>
                  <w:r>
                    <w:rPr>
                      <w:sz w:val="20"/>
                      <w:szCs w:val="20"/>
                    </w:rPr>
                  </w:r>
                </w:p>
              </w:tc>
              <w:tc>
                <w:tcPr>
                  <w:tcW w:w="2591" w:type="dxa"/>
                  <w:tcBorders>
                    <w:left w:val="single" w:sz="8" w:space="0" w:color="000001"/>
                    <w:bottom w:val="single" w:sz="8" w:space="0" w:color="000001"/>
                    <w:right w:val="single" w:sz="8" w:space="0" w:color="000001"/>
                  </w:tcBorders>
                  <w:shd w:fill="auto" w:val="clear"/>
                  <w:tcMar>
                    <w:top w:w="0" w:type="dxa"/>
                    <w:left w:w="98" w:type="dxa"/>
                    <w:right w:w="108" w:type="dxa"/>
                  </w:tcMar>
                </w:tcPr>
                <w:p>
                  <w:pPr>
                    <w:pStyle w:val="Normal"/>
                    <w:widowControl w:val="false"/>
                    <w:snapToGrid w:val="false"/>
                    <w:spacing w:lineRule="auto" w:line="240"/>
                    <w:rPr>
                      <w:sz w:val="20"/>
                      <w:szCs w:val="20"/>
                    </w:rPr>
                  </w:pPr>
                  <w:r>
                    <w:rPr>
                      <w:sz w:val="20"/>
                      <w:szCs w:val="20"/>
                    </w:rPr>
                    <w:t>Выполнено работ</w:t>
                  </w:r>
                </w:p>
              </w:tc>
              <w:tc>
                <w:tcPr>
                  <w:tcW w:w="3472" w:type="dxa"/>
                  <w:gridSpan w:val="6"/>
                  <w:tcBorders>
                    <w:bottom w:val="single" w:sz="8" w:space="0" w:color="000001"/>
                    <w:right w:val="single" w:sz="8" w:space="0" w:color="000001"/>
                  </w:tcBorders>
                  <w:shd w:fill="auto" w:val="clear"/>
                  <w:tcMar>
                    <w:top w:w="0" w:type="dxa"/>
                    <w:left w:w="108" w:type="dxa"/>
                    <w:right w:w="108" w:type="dxa"/>
                  </w:tcMar>
                  <w:vAlign w:val="center"/>
                </w:tcPr>
                <w:p>
                  <w:pPr>
                    <w:pStyle w:val="Normal"/>
                    <w:widowControl w:val="false"/>
                    <w:snapToGrid w:val="false"/>
                    <w:spacing w:lineRule="auto" w:line="240"/>
                    <w:jc w:val="center"/>
                    <w:rPr>
                      <w:b/>
                      <w:bCs/>
                      <w:sz w:val="20"/>
                      <w:szCs w:val="20"/>
                    </w:rPr>
                  </w:pPr>
                  <w:r>
                    <w:rPr>
                      <w:b/>
                      <w:bCs/>
                      <w:sz w:val="20"/>
                      <w:szCs w:val="20"/>
                    </w:rPr>
                    <w:t>ИТОГО</w:t>
                  </w:r>
                </w:p>
              </w:tc>
              <w:tc>
                <w:tcPr>
                  <w:tcW w:w="1335" w:type="dxa"/>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c>
                <w:tcPr>
                  <w:tcW w:w="1119" w:type="dxa"/>
                  <w:gridSpan w:val="2"/>
                  <w:tcBorders>
                    <w:bottom w:val="single" w:sz="8" w:space="0" w:color="000001"/>
                    <w:right w:val="single" w:sz="8" w:space="0" w:color="000001"/>
                  </w:tcBorders>
                  <w:shd w:fill="auto" w:val="clear"/>
                  <w:tcMar>
                    <w:top w:w="0" w:type="dxa"/>
                    <w:left w:w="108" w:type="dxa"/>
                    <w:right w:w="108" w:type="dxa"/>
                  </w:tcMar>
                </w:tcPr>
                <w:p>
                  <w:pPr>
                    <w:pStyle w:val="Normal"/>
                    <w:widowControl w:val="false"/>
                    <w:snapToGrid w:val="false"/>
                    <w:spacing w:lineRule="auto" w:line="240"/>
                    <w:rPr>
                      <w:sz w:val="20"/>
                      <w:szCs w:val="20"/>
                    </w:rPr>
                  </w:pPr>
                  <w:r>
                    <w:rPr>
                      <w:sz w:val="20"/>
                      <w:szCs w:val="20"/>
                    </w:rPr>
                  </w:r>
                </w:p>
              </w:tc>
            </w:tr>
          </w:tbl>
          <w:p>
            <w:pPr>
              <w:pStyle w:val="Normal"/>
              <w:widowControl w:val="false"/>
              <w:spacing w:lineRule="auto" w:line="240"/>
              <w:rPr>
                <w:sz w:val="20"/>
                <w:szCs w:val="20"/>
              </w:rPr>
            </w:pPr>
            <w:r>
              <w:rPr>
                <w:sz w:val="20"/>
                <w:szCs w:val="20"/>
              </w:rPr>
            </w:r>
          </w:p>
          <w:p>
            <w:pPr>
              <w:pStyle w:val="Normal"/>
              <w:widowControl w:val="false"/>
              <w:spacing w:lineRule="auto" w:line="240"/>
              <w:rPr>
                <w:sz w:val="20"/>
                <w:szCs w:val="20"/>
              </w:rPr>
            </w:pPr>
            <w:r>
              <w:rPr>
                <w:sz w:val="20"/>
                <w:szCs w:val="20"/>
              </w:rPr>
              <w:t>Выполненные работы удовлетворяют условиям договора (техническому заданию).</w:t>
            </w:r>
          </w:p>
          <w:p>
            <w:pPr>
              <w:pStyle w:val="Normal"/>
              <w:widowControl w:val="false"/>
              <w:spacing w:lineRule="auto" w:line="240"/>
              <w:rPr>
                <w:sz w:val="20"/>
                <w:szCs w:val="20"/>
              </w:rPr>
            </w:pPr>
            <w:r>
              <w:rPr>
                <w:sz w:val="20"/>
                <w:szCs w:val="20"/>
              </w:rPr>
              <w:t>Подрядчиком переданы Заказчику следующие документы (с указанием количества оригиналов/копий, на каком носителе, в каком формате)</w:t>
            </w:r>
          </w:p>
          <w:p>
            <w:pPr>
              <w:pStyle w:val="Normal"/>
              <w:widowControl w:val="false"/>
              <w:spacing w:lineRule="auto" w:line="240"/>
              <w:rPr>
                <w:sz w:val="20"/>
                <w:szCs w:val="20"/>
              </w:rPr>
            </w:pPr>
            <w:r>
              <w:rPr>
                <w:sz w:val="20"/>
                <w:szCs w:val="20"/>
              </w:rPr>
              <w:t>____________________________________________________________________</w:t>
            </w:r>
          </w:p>
          <w:tbl>
            <w:tblPr>
              <w:tblW w:w="9720" w:type="dxa"/>
              <w:jc w:val="left"/>
              <w:tblInd w:w="108" w:type="dxa"/>
              <w:tblLayout w:type="fixed"/>
              <w:tblCellMar>
                <w:top w:w="0" w:type="dxa"/>
                <w:left w:w="108" w:type="dxa"/>
                <w:bottom w:w="0" w:type="dxa"/>
                <w:right w:w="108" w:type="dxa"/>
              </w:tblCellMar>
              <w:tblLook w:val="04a0" w:noHBand="0" w:noVBand="1" w:firstColumn="1" w:lastRow="0" w:lastColumn="0" w:firstRow="1"/>
            </w:tblPr>
            <w:tblGrid>
              <w:gridCol w:w="451"/>
              <w:gridCol w:w="4049"/>
              <w:gridCol w:w="707"/>
              <w:gridCol w:w="347"/>
              <w:gridCol w:w="4166"/>
            </w:tblGrid>
            <w:tr>
              <w:trPr>
                <w:cantSplit w:val="true"/>
              </w:trPr>
              <w:tc>
                <w:tcPr>
                  <w:tcW w:w="4500" w:type="dxa"/>
                  <w:gridSpan w:val="2"/>
                  <w:tcBorders/>
                  <w:shd w:fill="auto" w:val="clear"/>
                </w:tcPr>
                <w:p>
                  <w:pPr>
                    <w:pStyle w:val="Normal"/>
                    <w:widowControl w:val="false"/>
                    <w:spacing w:lineRule="auto" w:line="240"/>
                    <w:rPr>
                      <w:sz w:val="20"/>
                      <w:szCs w:val="20"/>
                    </w:rPr>
                  </w:pPr>
                  <w:r>
                    <w:rPr>
                      <w:b/>
                      <w:bCs/>
                      <w:sz w:val="20"/>
                      <w:szCs w:val="20"/>
                    </w:rPr>
                    <w:t>Заказчика:</w:t>
                  </w:r>
                </w:p>
              </w:tc>
              <w:tc>
                <w:tcPr>
                  <w:tcW w:w="707"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513" w:type="dxa"/>
                  <w:gridSpan w:val="2"/>
                  <w:tcBorders/>
                  <w:shd w:fill="auto" w:val="clear"/>
                </w:tcPr>
                <w:p>
                  <w:pPr>
                    <w:pStyle w:val="Normal"/>
                    <w:widowControl w:val="false"/>
                    <w:spacing w:lineRule="auto" w:line="240"/>
                    <w:rPr>
                      <w:sz w:val="20"/>
                      <w:szCs w:val="20"/>
                    </w:rPr>
                  </w:pPr>
                  <w:r>
                    <w:rPr>
                      <w:b/>
                      <w:bCs/>
                      <w:sz w:val="20"/>
                      <w:szCs w:val="20"/>
                    </w:rPr>
                    <w:t>Подрядчика:</w:t>
                  </w:r>
                </w:p>
              </w:tc>
            </w:tr>
            <w:tr>
              <w:trPr>
                <w:cantSplit w:val="true"/>
              </w:trPr>
              <w:tc>
                <w:tcPr>
                  <w:tcW w:w="4500" w:type="dxa"/>
                  <w:gridSpan w:val="2"/>
                  <w:tcBorders/>
                  <w:shd w:fill="auto" w:val="clear"/>
                </w:tcPr>
                <w:p>
                  <w:pPr>
                    <w:pStyle w:val="Normal"/>
                    <w:widowControl w:val="false"/>
                    <w:snapToGrid w:val="false"/>
                    <w:spacing w:lineRule="auto" w:line="240"/>
                    <w:rPr>
                      <w:b/>
                      <w:bCs/>
                      <w:sz w:val="20"/>
                      <w:szCs w:val="20"/>
                    </w:rPr>
                  </w:pPr>
                  <w:r>
                    <w:rPr>
                      <w:b/>
                      <w:bCs/>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513" w:type="dxa"/>
                  <w:gridSpan w:val="2"/>
                  <w:tcBorders/>
                  <w:shd w:fill="auto" w:val="clear"/>
                </w:tcPr>
                <w:p>
                  <w:pPr>
                    <w:pStyle w:val="Normal"/>
                    <w:widowControl w:val="false"/>
                    <w:snapToGrid w:val="false"/>
                    <w:spacing w:lineRule="auto" w:line="240"/>
                    <w:rPr>
                      <w:b/>
                      <w:bCs/>
                      <w:sz w:val="20"/>
                      <w:szCs w:val="20"/>
                    </w:rPr>
                  </w:pPr>
                  <w:r>
                    <w:rPr>
                      <w:b/>
                      <w:bCs/>
                      <w:sz w:val="20"/>
                      <w:szCs w:val="20"/>
                    </w:rPr>
                  </w:r>
                </w:p>
              </w:tc>
            </w:tr>
            <w:tr>
              <w:trPr>
                <w:cantSplit w:val="true"/>
              </w:trPr>
              <w:tc>
                <w:tcPr>
                  <w:tcW w:w="451"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(должность)</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restart"/>
                  <w:tcBorders/>
                  <w:shd w:fill="auto" w:val="clear"/>
                </w:tcPr>
                <w:p>
                  <w:pPr>
                    <w:pStyle w:val="Normal"/>
                    <w:widowControl w:val="false"/>
                    <w:snapToGrid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(должность)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(подпись)</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(подпись)</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bottom w:val="single" w:sz="4" w:space="0" w:color="000001"/>
                  </w:tcBorders>
                  <w:shd w:fill="auto" w:val="clear"/>
                </w:tcPr>
                <w:p>
                  <w:pPr>
                    <w:pStyle w:val="Normal"/>
                    <w:widowControl w:val="false"/>
                    <w:snapToGrid w:val="false"/>
                    <w:spacing w:lineRule="auto" w:line="240"/>
                    <w:rPr>
                      <w:sz w:val="20"/>
                      <w:szCs w:val="20"/>
                    </w:rPr>
                  </w:pPr>
                  <w:r>
                    <w:rPr>
                      <w:sz w:val="20"/>
                      <w:szCs w:val="20"/>
                    </w:rPr>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top w:val="single" w:sz="4" w:space="0" w:color="000001"/>
                  </w:tcBorders>
                  <w:shd w:fill="auto" w:val="clear"/>
                </w:tcPr>
                <w:p>
                  <w:pPr>
                    <w:pStyle w:val="Normal"/>
                    <w:widowControl w:val="false"/>
                    <w:snapToGrid w:val="false"/>
                    <w:spacing w:lineRule="auto" w:line="240"/>
                    <w:ind w:firstLine="7"/>
                    <w:jc w:val="center"/>
                    <w:rPr>
                      <w:sz w:val="20"/>
                      <w:szCs w:val="20"/>
                    </w:rPr>
                  </w:pPr>
                  <w:r>
                    <w:rPr>
                      <w:i/>
                      <w:iCs/>
                      <w:sz w:val="20"/>
                      <w:szCs w:val="20"/>
                    </w:rPr>
                    <w:t>(расшифровка подписи)</w:t>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top w:val="single" w:sz="4" w:space="0" w:color="000001"/>
                  </w:tcBorders>
                  <w:shd w:fill="auto" w:val="clear"/>
                </w:tcPr>
                <w:p>
                  <w:pPr>
                    <w:pStyle w:val="Normal"/>
                    <w:widowControl w:val="false"/>
                    <w:snapToGrid w:val="false"/>
                    <w:spacing w:lineRule="auto" w:line="240"/>
                    <w:jc w:val="center"/>
                    <w:rPr>
                      <w:sz w:val="20"/>
                      <w:szCs w:val="20"/>
                    </w:rPr>
                  </w:pPr>
                  <w:r>
                    <w:rPr>
                      <w:i/>
                      <w:iCs/>
                      <w:sz w:val="20"/>
                      <w:szCs w:val="20"/>
                    </w:rPr>
                    <w:t>(расшифровка подписи)</w:t>
                  </w:r>
                </w:p>
              </w:tc>
            </w:tr>
            <w:tr>
              <w:trPr>
                <w:cantSplit w:val="true"/>
              </w:trPr>
              <w:tc>
                <w:tcPr>
                  <w:tcW w:w="451"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049" w:type="dxa"/>
                  <w:tcBorders/>
                  <w:shd w:fill="auto" w:val="clear"/>
                </w:tcPr>
                <w:p>
                  <w:pPr>
                    <w:pStyle w:val="Normal"/>
                    <w:widowControl w:val="false"/>
                    <w:snapToGrid w:val="false"/>
                    <w:spacing w:lineRule="auto" w:line="240"/>
                    <w:rPr>
                      <w:sz w:val="20"/>
                      <w:szCs w:val="20"/>
                    </w:rPr>
                  </w:pPr>
                  <w:r>
                    <w:rPr>
                      <w:sz w:val="20"/>
                      <w:szCs w:val="20"/>
                    </w:rPr>
                  </w:r>
                </w:p>
              </w:tc>
              <w:tc>
                <w:tcPr>
                  <w:tcW w:w="70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347" w:type="dxa"/>
                  <w:vMerge w:val="continue"/>
                  <w:tcBorders/>
                  <w:shd w:fill="auto" w:val="clear"/>
                  <w:tcMar>
                    <w:left w:w="0" w:type="dxa"/>
                    <w:right w:w="0" w:type="dxa"/>
                  </w:tcMar>
                  <w:vAlign w:val="center"/>
                </w:tcPr>
                <w:p>
                  <w:pPr>
                    <w:pStyle w:val="Normal"/>
                    <w:widowControl w:val="false"/>
                    <w:spacing w:lineRule="auto" w:line="240"/>
                    <w:rPr>
                      <w:sz w:val="20"/>
                      <w:szCs w:val="20"/>
                    </w:rPr>
                  </w:pPr>
                  <w:r>
                    <w:rPr>
                      <w:sz w:val="20"/>
                      <w:szCs w:val="20"/>
                    </w:rPr>
                  </w:r>
                </w:p>
              </w:tc>
              <w:tc>
                <w:tcPr>
                  <w:tcW w:w="4166" w:type="dxa"/>
                  <w:tcBorders/>
                  <w:shd w:fill="auto" w:val="clear"/>
                </w:tcPr>
                <w:p>
                  <w:pPr>
                    <w:pStyle w:val="Normal"/>
                    <w:widowControl w:val="false"/>
                    <w:snapToGrid w:val="false"/>
                    <w:spacing w:lineRule="auto" w:line="240"/>
                    <w:rPr>
                      <w:sz w:val="20"/>
                      <w:szCs w:val="20"/>
                    </w:rPr>
                  </w:pPr>
                  <w:r>
                    <w:rPr>
                      <w:sz w:val="20"/>
                      <w:szCs w:val="20"/>
                    </w:rPr>
                  </w:r>
                </w:p>
              </w:tc>
            </w:tr>
          </w:tbl>
          <w:p>
            <w:pPr>
              <w:pStyle w:val="Normal"/>
              <w:widowControl w:val="false"/>
              <w:snapToGrid w:val="false"/>
              <w:spacing w:lineRule="auto" w:line="240"/>
              <w:ind w:firstLine="567" w:right="-76"/>
              <w:jc w:val="center"/>
              <w:rPr>
                <w:szCs w:val="24"/>
              </w:rPr>
            </w:pPr>
            <w:r>
              <w:rPr>
                <w:szCs w:val="24"/>
              </w:rPr>
            </w:r>
          </w:p>
        </w:tc>
      </w:tr>
    </w:tbl>
    <w:p>
      <w:pPr>
        <w:pStyle w:val="Normal"/>
        <w:spacing w:lineRule="auto" w:line="240"/>
        <w:ind w:firstLine="567" w:left="5103"/>
        <w:rPr>
          <w:highlight w:val="yellow"/>
        </w:rPr>
      </w:pPr>
      <w:r>
        <w:rPr>
          <w:highlight w:val="yellow"/>
        </w:rPr>
      </w:r>
    </w:p>
    <w:p>
      <w:pPr>
        <w:pStyle w:val="Normal"/>
        <w:spacing w:lineRule="auto" w:line="240"/>
        <w:ind w:firstLine="567" w:left="5103"/>
        <w:rPr>
          <w:highlight w:val="yellow"/>
        </w:rPr>
      </w:pPr>
      <w:r>
        <w:rPr>
          <w:highlight w:val="yellow"/>
        </w:rPr>
      </w:r>
    </w:p>
    <w:tbl>
      <w:tblPr>
        <w:tblW w:w="9571"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4785"/>
        <w:gridCol w:w="4785"/>
      </w:tblGrid>
      <w:tr>
        <w:trPr/>
        <w:tc>
          <w:tcPr>
            <w:tcW w:w="4785" w:type="dxa"/>
            <w:tcBorders/>
            <w:shd w:fill="auto" w:val="clear"/>
          </w:tcPr>
          <w:p>
            <w:pPr>
              <w:pStyle w:val="Normal"/>
              <w:widowControl w:val="false"/>
              <w:spacing w:lineRule="auto" w:line="240"/>
              <w:ind w:hanging="0"/>
              <w:rPr>
                <w:b/>
                <w:sz w:val="24"/>
                <w:szCs w:val="24"/>
                <w:lang w:val="en-US"/>
              </w:rPr>
            </w:pPr>
            <w:r>
              <w:rPr>
                <w:b/>
                <w:sz w:val="24"/>
                <w:szCs w:val="24"/>
              </w:rPr>
              <w:t>Заказчик</w:t>
            </w:r>
            <w:r>
              <w:rPr>
                <w:b/>
                <w:sz w:val="24"/>
                <w:szCs w:val="24"/>
                <w:lang w:val="en-US"/>
              </w:rPr>
              <w:t>:</w:t>
            </w:r>
          </w:p>
          <w:p>
            <w:pPr>
              <w:pStyle w:val="Normal"/>
              <w:widowControl w:val="false"/>
              <w:spacing w:lineRule="auto" w:line="240"/>
              <w:rPr>
                <w:b/>
                <w:sz w:val="24"/>
                <w:szCs w:val="24"/>
              </w:rPr>
            </w:pPr>
            <w:r>
              <w:rPr>
                <w:b/>
                <w:sz w:val="24"/>
                <w:szCs w:val="24"/>
              </w:rPr>
            </w:r>
          </w:p>
          <w:p>
            <w:pPr>
              <w:pStyle w:val="Normal"/>
              <w:widowControl w:val="false"/>
              <w:spacing w:lineRule="auto" w:line="240"/>
              <w:ind w:firstLine="34"/>
              <w:rPr>
                <w:b/>
                <w:sz w:val="24"/>
                <w:szCs w:val="24"/>
              </w:rPr>
            </w:pPr>
            <w:r>
              <w:rPr>
                <w:b/>
                <w:sz w:val="24"/>
                <w:szCs w:val="24"/>
              </w:rPr>
              <w:t>____________/_________________________</w:t>
            </w:r>
          </w:p>
        </w:tc>
        <w:tc>
          <w:tcPr>
            <w:tcW w:w="4785" w:type="dxa"/>
            <w:tcBorders/>
            <w:shd w:fill="auto" w:val="clear"/>
          </w:tcPr>
          <w:p>
            <w:pPr>
              <w:pStyle w:val="Normal"/>
              <w:widowControl w:val="false"/>
              <w:spacing w:lineRule="auto" w:line="240"/>
              <w:ind w:hanging="0"/>
              <w:rPr>
                <w:b/>
                <w:sz w:val="24"/>
                <w:szCs w:val="24"/>
              </w:rPr>
            </w:pPr>
            <w:r>
              <w:rPr>
                <w:b/>
                <w:sz w:val="24"/>
                <w:szCs w:val="24"/>
              </w:rPr>
              <w:t>Подрядчик:</w:t>
            </w:r>
          </w:p>
          <w:p>
            <w:pPr>
              <w:pStyle w:val="Normal"/>
              <w:widowControl w:val="false"/>
              <w:spacing w:lineRule="auto" w:line="240"/>
              <w:ind w:hanging="0"/>
              <w:rPr>
                <w:b/>
                <w:sz w:val="24"/>
                <w:szCs w:val="24"/>
              </w:rPr>
            </w:pPr>
            <w:r>
              <w:rPr>
                <w:b/>
                <w:sz w:val="24"/>
                <w:szCs w:val="24"/>
              </w:rPr>
            </w:r>
          </w:p>
          <w:p>
            <w:pPr>
              <w:pStyle w:val="Normal"/>
              <w:widowControl w:val="false"/>
              <w:spacing w:lineRule="auto" w:line="240"/>
              <w:ind w:hanging="0"/>
              <w:rPr>
                <w:b/>
                <w:sz w:val="24"/>
                <w:szCs w:val="24"/>
              </w:rPr>
            </w:pPr>
            <w:r>
              <w:rPr>
                <w:b/>
                <w:sz w:val="24"/>
                <w:szCs w:val="24"/>
              </w:rPr>
              <w:t>_______________/_____________________</w:t>
            </w:r>
          </w:p>
        </w:tc>
      </w:tr>
    </w:tbl>
    <w:p>
      <w:pPr>
        <w:pStyle w:val="Normal"/>
        <w:spacing w:lineRule="auto" w:line="240"/>
        <w:ind w:hanging="0" w:left="4820"/>
        <w:rPr>
          <w:bCs/>
          <w:sz w:val="22"/>
          <w:szCs w:val="22"/>
          <w:highlight w:val="lightGray"/>
        </w:rPr>
      </w:pPr>
      <w:r>
        <w:br w:type="page"/>
      </w:r>
      <w:r>
        <w:rPr>
          <w:bCs/>
          <w:sz w:val="22"/>
          <w:szCs w:val="22"/>
          <w:highlight w:val="lightGray"/>
        </w:rPr>
        <w:t>Приложение № 7</w:t>
      </w:r>
    </w:p>
    <w:p>
      <w:pPr>
        <w:pStyle w:val="Normal"/>
        <w:shd w:val="clear" w:color="auto" w:fill="FFFFFF"/>
        <w:spacing w:lineRule="auto" w:line="240"/>
        <w:ind w:hanging="0" w:left="4820"/>
        <w:rPr>
          <w:bCs/>
          <w:sz w:val="22"/>
          <w:szCs w:val="22"/>
          <w:highlight w:val="lightGray"/>
        </w:rPr>
      </w:pPr>
      <w:r>
        <w:rPr>
          <w:bCs/>
          <w:sz w:val="22"/>
          <w:szCs w:val="22"/>
          <w:highlight w:val="lightGray"/>
        </w:rPr>
        <w:t xml:space="preserve">к Договору подряда </w:t>
      </w:r>
    </w:p>
    <w:p>
      <w:pPr>
        <w:pStyle w:val="Normal"/>
        <w:shd w:val="clear" w:color="auto" w:fill="FFFFFF"/>
        <w:spacing w:lineRule="auto" w:line="240"/>
        <w:ind w:hanging="0" w:left="4820"/>
        <w:rPr>
          <w:bCs/>
          <w:sz w:val="22"/>
          <w:szCs w:val="22"/>
          <w:highlight w:val="lightGray"/>
        </w:rPr>
      </w:pPr>
      <w:r>
        <w:rPr>
          <w:bCs/>
          <w:sz w:val="22"/>
          <w:szCs w:val="22"/>
          <w:highlight w:val="lightGray"/>
        </w:rPr>
        <w:t>от «___» ________20__ г. № ___</w:t>
      </w:r>
    </w:p>
    <w:p>
      <w:pPr>
        <w:pStyle w:val="Normal"/>
        <w:shd w:val="clear" w:color="auto" w:fill="FFFFFF"/>
        <w:spacing w:lineRule="auto" w:line="240"/>
        <w:ind w:firstLine="709" w:left="3119"/>
        <w:rPr>
          <w:bCs/>
          <w:sz w:val="22"/>
          <w:szCs w:val="22"/>
          <w:highlight w:val="lightGray"/>
        </w:rPr>
      </w:pPr>
      <w:r>
        <w:rPr>
          <w:bCs/>
          <w:sz w:val="22"/>
          <w:szCs w:val="22"/>
          <w:highlight w:val="lightGray"/>
        </w:rPr>
      </w:r>
    </w:p>
    <w:p>
      <w:pPr>
        <w:pStyle w:val="Normal"/>
        <w:spacing w:lineRule="auto" w:line="240"/>
        <w:ind w:hanging="0"/>
        <w:jc w:val="center"/>
        <w:rPr>
          <w:b/>
          <w:sz w:val="24"/>
          <w:szCs w:val="24"/>
        </w:rPr>
      </w:pPr>
      <w:r>
        <w:rPr>
          <w:b/>
          <w:bCs/>
          <w:sz w:val="24"/>
          <w:szCs w:val="24"/>
        </w:rPr>
        <w:t>Форма справки о заключенных договорах Подрядчика с Субподрядчиками</w:t>
      </w:r>
      <w:r>
        <w:rPr>
          <w:b/>
          <w:sz w:val="24"/>
          <w:szCs w:val="24"/>
        </w:rPr>
        <w:t xml:space="preserve"> </w:t>
      </w:r>
    </w:p>
    <w:p>
      <w:pPr>
        <w:pStyle w:val="Normal"/>
        <w:spacing w:lineRule="auto" w:line="240"/>
        <w:ind w:hanging="0"/>
        <w:jc w:val="right"/>
        <w:rPr>
          <w:sz w:val="16"/>
          <w:szCs w:val="16"/>
        </w:rPr>
      </w:pPr>
      <w:r>
        <w:rPr>
          <w:sz w:val="16"/>
          <w:szCs w:val="16"/>
        </w:rPr>
      </w:r>
    </w:p>
    <w:tbl>
      <w:tblPr>
        <w:tblW w:w="5000" w:type="pct"/>
        <w:jc w:val="center"/>
        <w:tblInd w:w="0" w:type="dxa"/>
        <w:tblLayout w:type="fixed"/>
        <w:tblCellMar>
          <w:top w:w="0" w:type="dxa"/>
          <w:left w:w="23" w:type="dxa"/>
          <w:bottom w:w="0" w:type="dxa"/>
          <w:right w:w="28" w:type="dxa"/>
        </w:tblCellMar>
        <w:tblLook w:val="04a0" w:noHBand="0" w:noVBand="1" w:firstColumn="1" w:lastRow="0" w:lastColumn="0" w:firstRow="1"/>
      </w:tblPr>
      <w:tblGrid>
        <w:gridCol w:w="176"/>
        <w:gridCol w:w="534"/>
        <w:gridCol w:w="776"/>
        <w:gridCol w:w="943"/>
        <w:gridCol w:w="1591"/>
        <w:gridCol w:w="1966"/>
        <w:gridCol w:w="1877"/>
        <w:gridCol w:w="655"/>
        <w:gridCol w:w="1118"/>
      </w:tblGrid>
      <w:tr>
        <w:trPr>
          <w:trHeight w:val="1327" w:hRule="atLeast"/>
        </w:trPr>
        <w:tc>
          <w:tcPr>
            <w:tcW w:w="17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r>
          </w:p>
        </w:tc>
        <w:tc>
          <w:tcPr>
            <w:tcW w:w="534"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Предмет договора</w:t>
            </w:r>
          </w:p>
        </w:tc>
        <w:tc>
          <w:tcPr>
            <w:tcW w:w="77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Дата договора</w:t>
            </w:r>
          </w:p>
        </w:tc>
        <w:tc>
          <w:tcPr>
            <w:tcW w:w="94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Номер договора с субподрядчиком</w:t>
            </w:r>
          </w:p>
        </w:tc>
        <w:tc>
          <w:tcPr>
            <w:tcW w:w="1591"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ОКПД2</w:t>
            </w:r>
          </w:p>
          <w:p>
            <w:pPr>
              <w:pStyle w:val="Normal"/>
              <w:widowControl w:val="false"/>
              <w:spacing w:lineRule="auto" w:line="240"/>
              <w:ind w:hanging="0"/>
              <w:jc w:val="center"/>
              <w:rPr>
                <w:sz w:val="16"/>
                <w:szCs w:val="16"/>
              </w:rPr>
            </w:pPr>
            <w:r>
              <w:rPr>
                <w:sz w:val="16"/>
                <w:szCs w:val="16"/>
              </w:rPr>
              <w:t>(Если договором предусмотрена поставка товара, предусмотренного Перечнем в соответствии с  Постановлен</w:t>
            </w:r>
            <w:r>
              <w:rPr>
                <w:sz w:val="16"/>
                <w:szCs w:val="16"/>
                <w:shd w:fill="auto" w:val="clear"/>
              </w:rPr>
              <w:t xml:space="preserve">ием Правительства РФ от </w:t>
            </w:r>
            <w:r>
              <w:rPr>
                <w:bCs/>
                <w:sz w:val="16"/>
                <w:szCs w:val="16"/>
                <w:shd w:fill="auto" w:val="clear"/>
              </w:rPr>
              <w:t>23.12.2024 № 1875</w:t>
            </w:r>
            <w:r>
              <w:rPr>
                <w:sz w:val="16"/>
                <w:szCs w:val="16"/>
                <w:shd w:fill="auto" w:val="clear"/>
              </w:rPr>
              <w:t>, данный товар заполняется отдельной строкой</w:t>
            </w:r>
            <w:r>
              <w:rPr>
                <w:sz w:val="16"/>
                <w:szCs w:val="16"/>
              </w:rPr>
              <w:t>)</w:t>
            </w:r>
          </w:p>
        </w:tc>
        <w:tc>
          <w:tcPr>
            <w:tcW w:w="1966"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Страна происхождения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1877"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Страна регистрации производителя товара</w:t>
            </w:r>
          </w:p>
          <w:p>
            <w:pPr>
              <w:pStyle w:val="Normal"/>
              <w:widowControl w:val="false"/>
              <w:spacing w:lineRule="auto" w:line="240"/>
              <w:ind w:hanging="0"/>
              <w:jc w:val="center"/>
              <w:rPr>
                <w:sz w:val="16"/>
                <w:szCs w:val="16"/>
              </w:rPr>
            </w:pPr>
            <w:r>
              <w:rPr>
                <w:sz w:val="16"/>
                <w:szCs w:val="16"/>
              </w:rPr>
              <w:t>(Заполняется только к ОКПД к договорам на поставку товаров (в том числе товаров, поставленных при выполнении закупаемых работ, оказании закупаемых услуг)</w:t>
            </w:r>
          </w:p>
        </w:tc>
        <w:tc>
          <w:tcPr>
            <w:tcW w:w="65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Валюта (ОКВ)</w:t>
            </w:r>
          </w:p>
        </w:tc>
        <w:tc>
          <w:tcPr>
            <w:tcW w:w="111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Единица измерения</w:t>
            </w:r>
          </w:p>
          <w:p>
            <w:pPr>
              <w:pStyle w:val="Normal"/>
              <w:widowControl w:val="false"/>
              <w:spacing w:lineRule="auto" w:line="240"/>
              <w:ind w:hanging="0"/>
              <w:jc w:val="center"/>
              <w:rPr>
                <w:sz w:val="16"/>
                <w:szCs w:val="16"/>
              </w:rPr>
            </w:pPr>
            <w:r>
              <w:rPr>
                <w:sz w:val="16"/>
                <w:szCs w:val="16"/>
              </w:rPr>
              <w:t>ОКЕИ</w:t>
            </w:r>
          </w:p>
        </w:tc>
      </w:tr>
      <w:tr>
        <w:trPr/>
        <w:tc>
          <w:tcPr>
            <w:tcW w:w="17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w:t>
            </w:r>
          </w:p>
        </w:tc>
        <w:tc>
          <w:tcPr>
            <w:tcW w:w="5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r>
          </w:p>
        </w:tc>
        <w:tc>
          <w:tcPr>
            <w:tcW w:w="77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w:t>
            </w:r>
          </w:p>
        </w:tc>
        <w:tc>
          <w:tcPr>
            <w:tcW w:w="94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3</w:t>
            </w:r>
          </w:p>
        </w:tc>
        <w:tc>
          <w:tcPr>
            <w:tcW w:w="15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4</w:t>
            </w:r>
          </w:p>
        </w:tc>
        <w:tc>
          <w:tcPr>
            <w:tcW w:w="196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5</w:t>
            </w:r>
          </w:p>
        </w:tc>
        <w:tc>
          <w:tcPr>
            <w:tcW w:w="187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6</w:t>
            </w:r>
          </w:p>
        </w:tc>
        <w:tc>
          <w:tcPr>
            <w:tcW w:w="65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7</w:t>
            </w:r>
          </w:p>
        </w:tc>
        <w:tc>
          <w:tcPr>
            <w:tcW w:w="111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8</w:t>
            </w:r>
          </w:p>
        </w:tc>
      </w:tr>
      <w:tr>
        <w:trPr/>
        <w:tc>
          <w:tcPr>
            <w:tcW w:w="17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lang w:val="en-US"/>
              </w:rPr>
            </w:pPr>
            <w:r>
              <w:rPr>
                <w:i/>
                <w:sz w:val="16"/>
                <w:szCs w:val="16"/>
                <w:lang w:val="en-US"/>
              </w:rPr>
              <w:t>1</w:t>
            </w:r>
          </w:p>
        </w:tc>
        <w:tc>
          <w:tcPr>
            <w:tcW w:w="534"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7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94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591"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96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877"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65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111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spacing w:lineRule="auto" w:line="240"/>
        <w:ind w:hanging="0"/>
        <w:rPr>
          <w:sz w:val="16"/>
          <w:szCs w:val="16"/>
        </w:rPr>
      </w:pPr>
      <w:r>
        <w:rPr>
          <w:sz w:val="16"/>
          <w:szCs w:val="16"/>
        </w:rPr>
      </w:r>
    </w:p>
    <w:tbl>
      <w:tblPr>
        <w:tblW w:w="5000" w:type="pct"/>
        <w:jc w:val="left"/>
        <w:tblInd w:w="0" w:type="dxa"/>
        <w:tblLayout w:type="fixed"/>
        <w:tblCellMar>
          <w:top w:w="0" w:type="dxa"/>
          <w:left w:w="23" w:type="dxa"/>
          <w:bottom w:w="0" w:type="dxa"/>
          <w:right w:w="28" w:type="dxa"/>
        </w:tblCellMar>
        <w:tblLook w:val="04a0" w:noHBand="0" w:noVBand="1" w:firstColumn="1" w:lastRow="0" w:lastColumn="0" w:firstRow="1"/>
      </w:tblPr>
      <w:tblGrid>
        <w:gridCol w:w="839"/>
        <w:gridCol w:w="1122"/>
        <w:gridCol w:w="745"/>
        <w:gridCol w:w="753"/>
        <w:gridCol w:w="840"/>
        <w:gridCol w:w="1407"/>
        <w:gridCol w:w="1220"/>
        <w:gridCol w:w="838"/>
        <w:gridCol w:w="1872"/>
      </w:tblGrid>
      <w:tr>
        <w:trPr>
          <w:trHeight w:val="1289" w:hRule="atLeast"/>
        </w:trPr>
        <w:tc>
          <w:tcPr>
            <w:tcW w:w="8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Кол-во товара, работ, услуг</w:t>
            </w:r>
          </w:p>
        </w:tc>
        <w:tc>
          <w:tcPr>
            <w:tcW w:w="112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Цена за единицу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745"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Цена по договору</w:t>
            </w:r>
          </w:p>
          <w:p>
            <w:pPr>
              <w:pStyle w:val="Normal"/>
              <w:widowControl w:val="false"/>
              <w:spacing w:lineRule="auto" w:line="240"/>
              <w:ind w:hanging="0"/>
              <w:jc w:val="center"/>
              <w:rPr>
                <w:sz w:val="16"/>
                <w:szCs w:val="16"/>
              </w:rPr>
            </w:pPr>
            <w:r>
              <w:rPr>
                <w:sz w:val="16"/>
                <w:szCs w:val="16"/>
              </w:rPr>
              <w:t xml:space="preserve"> </w:t>
            </w:r>
            <w:r>
              <w:rPr>
                <w:sz w:val="16"/>
                <w:szCs w:val="16"/>
              </w:rPr>
              <w:t>(руб. без НДС)</w:t>
            </w:r>
          </w:p>
        </w:tc>
        <w:tc>
          <w:tcPr>
            <w:tcW w:w="753"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Дата начала выполнения работ</w:t>
            </w:r>
          </w:p>
        </w:tc>
        <w:tc>
          <w:tcPr>
            <w:tcW w:w="84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Дата окончания выполнения работ</w:t>
            </w:r>
          </w:p>
        </w:tc>
        <w:tc>
          <w:tcPr>
            <w:tcW w:w="140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Принадлежность к МСП</w:t>
            </w:r>
          </w:p>
          <w:p>
            <w:pPr>
              <w:pStyle w:val="Normal"/>
              <w:widowControl w:val="false"/>
              <w:spacing w:lineRule="auto" w:line="240"/>
              <w:ind w:hanging="0"/>
              <w:jc w:val="center"/>
              <w:rPr>
                <w:sz w:val="16"/>
                <w:szCs w:val="16"/>
              </w:rPr>
            </w:pPr>
            <w:r>
              <w:rPr>
                <w:sz w:val="16"/>
                <w:szCs w:val="16"/>
              </w:rPr>
              <w:t>(среднее предприятие, малое предприятие, микропредприятие)</w:t>
            </w:r>
            <w:r>
              <w:rPr>
                <w:rStyle w:val="FootnoteReference"/>
                <w:sz w:val="16"/>
                <w:szCs w:val="16"/>
              </w:rPr>
              <w:footnoteReference w:customMarkFollows="1" w:id="17"/>
              <w:t></w:t>
            </w:r>
          </w:p>
        </w:tc>
        <w:tc>
          <w:tcPr>
            <w:tcW w:w="122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Полное наименование/ФИО</w:t>
            </w:r>
          </w:p>
        </w:tc>
        <w:tc>
          <w:tcPr>
            <w:tcW w:w="83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Сокращенное наименование</w:t>
            </w:r>
          </w:p>
        </w:tc>
        <w:tc>
          <w:tcPr>
            <w:tcW w:w="187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Физическое/Юридическое лицо</w:t>
            </w:r>
          </w:p>
        </w:tc>
      </w:tr>
      <w:tr>
        <w:trPr/>
        <w:tc>
          <w:tcPr>
            <w:tcW w:w="8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9</w:t>
            </w:r>
          </w:p>
        </w:tc>
        <w:tc>
          <w:tcPr>
            <w:tcW w:w="112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10</w:t>
            </w:r>
          </w:p>
        </w:tc>
        <w:tc>
          <w:tcPr>
            <w:tcW w:w="7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rPr>
              <w:t>1</w:t>
            </w:r>
            <w:r>
              <w:rPr>
                <w:b/>
                <w:sz w:val="16"/>
                <w:szCs w:val="16"/>
                <w:lang w:val="en-US"/>
              </w:rPr>
              <w:t>1</w:t>
            </w:r>
          </w:p>
        </w:tc>
        <w:tc>
          <w:tcPr>
            <w:tcW w:w="7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12</w:t>
            </w:r>
          </w:p>
        </w:tc>
        <w:tc>
          <w:tcPr>
            <w:tcW w:w="84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13</w:t>
            </w:r>
          </w:p>
        </w:tc>
        <w:tc>
          <w:tcPr>
            <w:tcW w:w="140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14</w:t>
            </w:r>
          </w:p>
        </w:tc>
        <w:tc>
          <w:tcPr>
            <w:tcW w:w="1220"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15</w:t>
            </w:r>
          </w:p>
        </w:tc>
        <w:tc>
          <w:tcPr>
            <w:tcW w:w="83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16</w:t>
            </w:r>
          </w:p>
        </w:tc>
        <w:tc>
          <w:tcPr>
            <w:tcW w:w="187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17</w:t>
            </w:r>
          </w:p>
        </w:tc>
      </w:tr>
      <w:tr>
        <w:trPr/>
        <w:tc>
          <w:tcPr>
            <w:tcW w:w="83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12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4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5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84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407"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20"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83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87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r>
    </w:p>
    <w:tbl>
      <w:tblPr>
        <w:tblW w:w="5000" w:type="pct"/>
        <w:jc w:val="left"/>
        <w:tblInd w:w="0" w:type="dxa"/>
        <w:tblLayout w:type="fixed"/>
        <w:tblCellMar>
          <w:top w:w="0" w:type="dxa"/>
          <w:left w:w="23" w:type="dxa"/>
          <w:bottom w:w="0" w:type="dxa"/>
          <w:right w:w="28" w:type="dxa"/>
        </w:tblCellMar>
        <w:tblLook w:val="04a0" w:noHBand="0" w:noVBand="1" w:firstColumn="1" w:lastRow="0" w:lastColumn="0" w:firstRow="1"/>
      </w:tblPr>
      <w:tblGrid>
        <w:gridCol w:w="875"/>
        <w:gridCol w:w="1189"/>
        <w:gridCol w:w="788"/>
        <w:gridCol w:w="782"/>
        <w:gridCol w:w="890"/>
        <w:gridCol w:w="786"/>
        <w:gridCol w:w="1279"/>
        <w:gridCol w:w="689"/>
        <w:gridCol w:w="789"/>
        <w:gridCol w:w="586"/>
        <w:gridCol w:w="493"/>
        <w:gridCol w:w="490"/>
      </w:tblGrid>
      <w:tr>
        <w:trPr>
          <w:trHeight w:val="1266" w:hRule="atLeast"/>
        </w:trPr>
        <w:tc>
          <w:tcPr>
            <w:tcW w:w="87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Дата постановки на учет</w:t>
            </w:r>
          </w:p>
        </w:tc>
        <w:tc>
          <w:tcPr>
            <w:tcW w:w="11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Почтовый индекс</w:t>
            </w:r>
          </w:p>
        </w:tc>
        <w:tc>
          <w:tcPr>
            <w:tcW w:w="788"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Адрес местонахождения</w:t>
            </w:r>
          </w:p>
        </w:tc>
        <w:tc>
          <w:tcPr>
            <w:tcW w:w="782"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Адрес пребывания на территории РФ (для нерезидентов РФ)</w:t>
            </w:r>
          </w:p>
        </w:tc>
        <w:tc>
          <w:tcPr>
            <w:tcW w:w="89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Электронный адрес</w:t>
            </w:r>
          </w:p>
        </w:tc>
        <w:tc>
          <w:tcPr>
            <w:tcW w:w="78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Контактный телефон</w:t>
            </w:r>
          </w:p>
        </w:tc>
        <w:tc>
          <w:tcPr>
            <w:tcW w:w="127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sz w:val="16"/>
                <w:szCs w:val="16"/>
              </w:rPr>
            </w:pPr>
            <w:r>
              <w:rPr>
                <w:sz w:val="16"/>
                <w:szCs w:val="16"/>
              </w:rPr>
              <w:t>ОКСМ</w:t>
            </w:r>
          </w:p>
        </w:tc>
        <w:tc>
          <w:tcPr>
            <w:tcW w:w="6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ОКТМО</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sz w:val="16"/>
                <w:szCs w:val="16"/>
              </w:rPr>
            </w:pPr>
            <w:r>
              <w:rPr>
                <w:sz w:val="16"/>
                <w:szCs w:val="16"/>
              </w:rPr>
              <w:t>ОКОПФ</w:t>
            </w:r>
          </w:p>
        </w:tc>
        <w:tc>
          <w:tcPr>
            <w:tcW w:w="58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ОКПО</w:t>
            </w:r>
          </w:p>
        </w:tc>
        <w:tc>
          <w:tcPr>
            <w:tcW w:w="4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КПП</w:t>
            </w:r>
          </w:p>
        </w:tc>
        <w:tc>
          <w:tcPr>
            <w:tcW w:w="4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r>
          </w:p>
          <w:p>
            <w:pPr>
              <w:pStyle w:val="Normal"/>
              <w:widowControl w:val="false"/>
              <w:spacing w:lineRule="auto" w:line="240"/>
              <w:ind w:hanging="0"/>
              <w:jc w:val="center"/>
              <w:rPr>
                <w:sz w:val="16"/>
                <w:szCs w:val="16"/>
              </w:rPr>
            </w:pPr>
            <w:r>
              <w:rPr>
                <w:sz w:val="16"/>
                <w:szCs w:val="16"/>
              </w:rPr>
              <w:t>ИНН</w:t>
            </w:r>
          </w:p>
          <w:p>
            <w:pPr>
              <w:pStyle w:val="Normal"/>
              <w:widowControl w:val="false"/>
              <w:spacing w:lineRule="auto" w:line="240"/>
              <w:ind w:hanging="0"/>
              <w:rPr>
                <w:sz w:val="16"/>
                <w:szCs w:val="16"/>
              </w:rPr>
            </w:pPr>
            <w:r>
              <w:rPr>
                <w:sz w:val="16"/>
                <w:szCs w:val="16"/>
              </w:rPr>
            </w:r>
          </w:p>
          <w:p>
            <w:pPr>
              <w:pStyle w:val="Normal"/>
              <w:widowControl w:val="false"/>
              <w:spacing w:lineRule="auto" w:line="240"/>
              <w:ind w:hanging="0"/>
              <w:rPr>
                <w:sz w:val="16"/>
                <w:szCs w:val="16"/>
              </w:rPr>
            </w:pPr>
            <w:r>
              <w:rPr>
                <w:sz w:val="16"/>
                <w:szCs w:val="16"/>
              </w:rPr>
            </w:r>
          </w:p>
        </w:tc>
      </w:tr>
      <w:tr>
        <w:trPr>
          <w:trHeight w:val="200" w:hRule="atLeast"/>
        </w:trPr>
        <w:tc>
          <w:tcPr>
            <w:tcW w:w="87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18</w:t>
            </w:r>
          </w:p>
        </w:tc>
        <w:tc>
          <w:tcPr>
            <w:tcW w:w="11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19</w:t>
            </w:r>
          </w:p>
        </w:tc>
        <w:tc>
          <w:tcPr>
            <w:tcW w:w="78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20</w:t>
            </w:r>
          </w:p>
        </w:tc>
        <w:tc>
          <w:tcPr>
            <w:tcW w:w="78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b/>
                <w:sz w:val="16"/>
                <w:szCs w:val="16"/>
                <w:lang w:val="en-US"/>
              </w:rPr>
            </w:pPr>
            <w:r>
              <w:rPr>
                <w:b/>
                <w:sz w:val="16"/>
                <w:szCs w:val="16"/>
                <w:lang w:val="en-US"/>
              </w:rPr>
              <w:t>21</w:t>
            </w:r>
          </w:p>
        </w:tc>
        <w:tc>
          <w:tcPr>
            <w:tcW w:w="890"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b/>
                <w:sz w:val="16"/>
                <w:szCs w:val="16"/>
                <w:lang w:val="en-US"/>
              </w:rPr>
            </w:pPr>
            <w:r>
              <w:rPr>
                <w:b/>
                <w:sz w:val="16"/>
                <w:szCs w:val="16"/>
                <w:lang w:val="en-US"/>
              </w:rPr>
              <w:t>22</w:t>
            </w:r>
          </w:p>
        </w:tc>
        <w:tc>
          <w:tcPr>
            <w:tcW w:w="78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b/>
                <w:sz w:val="16"/>
                <w:szCs w:val="16"/>
                <w:lang w:val="en-US"/>
              </w:rPr>
            </w:pPr>
            <w:r>
              <w:rPr>
                <w:b/>
                <w:sz w:val="16"/>
                <w:szCs w:val="16"/>
                <w:lang w:val="en-US"/>
              </w:rPr>
              <w:t>23</w:t>
            </w:r>
          </w:p>
        </w:tc>
        <w:tc>
          <w:tcPr>
            <w:tcW w:w="1279" w:type="dxa"/>
            <w:tcBorders>
              <w:top w:val="single" w:sz="4" w:space="0" w:color="000001"/>
              <w:left w:val="single" w:sz="4" w:space="0" w:color="000001"/>
              <w:bottom w:val="single" w:sz="4" w:space="0" w:color="000001"/>
              <w:right w:val="single" w:sz="4" w:space="0" w:color="000001"/>
            </w:tcBorders>
            <w:shd w:color="auto" w:fill="auto" w:val="clear"/>
          </w:tcPr>
          <w:p>
            <w:pPr>
              <w:pStyle w:val="Normal"/>
              <w:widowControl w:val="false"/>
              <w:spacing w:lineRule="auto" w:line="240"/>
              <w:ind w:hanging="0"/>
              <w:jc w:val="center"/>
              <w:rPr>
                <w:b/>
                <w:sz w:val="16"/>
                <w:szCs w:val="16"/>
                <w:lang w:val="en-US"/>
              </w:rPr>
            </w:pPr>
            <w:r>
              <w:rPr>
                <w:b/>
                <w:sz w:val="16"/>
                <w:szCs w:val="16"/>
                <w:lang w:val="en-US"/>
              </w:rPr>
              <w:t>24</w:t>
            </w:r>
          </w:p>
        </w:tc>
        <w:tc>
          <w:tcPr>
            <w:tcW w:w="6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25</w:t>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26</w:t>
            </w:r>
          </w:p>
        </w:tc>
        <w:tc>
          <w:tcPr>
            <w:tcW w:w="58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27</w:t>
            </w:r>
          </w:p>
        </w:tc>
        <w:tc>
          <w:tcPr>
            <w:tcW w:w="4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28</w:t>
            </w:r>
          </w:p>
        </w:tc>
        <w:tc>
          <w:tcPr>
            <w:tcW w:w="4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tabs>
                <w:tab w:val="clear" w:pos="708"/>
                <w:tab w:val="left" w:pos="1531" w:leader="none"/>
              </w:tabs>
              <w:spacing w:lineRule="auto" w:line="240"/>
              <w:ind w:hanging="0"/>
              <w:jc w:val="center"/>
              <w:rPr>
                <w:b/>
                <w:sz w:val="16"/>
                <w:szCs w:val="16"/>
                <w:lang w:val="en-US"/>
              </w:rPr>
            </w:pPr>
            <w:r>
              <w:rPr>
                <w:b/>
                <w:sz w:val="16"/>
                <w:szCs w:val="16"/>
                <w:lang w:val="en-US"/>
              </w:rPr>
              <w:t>29</w:t>
            </w:r>
          </w:p>
        </w:tc>
      </w:tr>
      <w:tr>
        <w:trPr>
          <w:trHeight w:val="200" w:hRule="atLeast"/>
        </w:trPr>
        <w:tc>
          <w:tcPr>
            <w:tcW w:w="875"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11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88"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82"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8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86"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1279" w:type="dxa"/>
            <w:tcBorders>
              <w:top w:val="single" w:sz="4" w:space="0" w:color="000001"/>
              <w:left w:val="single" w:sz="4" w:space="0" w:color="000001"/>
              <w:bottom w:val="single" w:sz="4" w:space="0" w:color="000001"/>
              <w:right w:val="single" w:sz="4" w:space="0" w:color="000001"/>
            </w:tcBorders>
            <w:shd w:color="auto" w:fill="auto" w:val="clear"/>
            <w:vAlign w:val="center"/>
          </w:tcPr>
          <w:p>
            <w:pPr>
              <w:pStyle w:val="Normal"/>
              <w:widowControl w:val="false"/>
              <w:spacing w:lineRule="auto" w:line="240"/>
              <w:ind w:hanging="0"/>
              <w:jc w:val="center"/>
              <w:rPr>
                <w:i/>
                <w:i/>
                <w:sz w:val="16"/>
                <w:szCs w:val="16"/>
              </w:rPr>
            </w:pPr>
            <w:r>
              <w:rPr>
                <w:i/>
                <w:sz w:val="16"/>
                <w:szCs w:val="16"/>
              </w:rPr>
            </w:r>
          </w:p>
        </w:tc>
        <w:tc>
          <w:tcPr>
            <w:tcW w:w="689"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789" w:type="dxa"/>
            <w:tcBorders>
              <w:top w:val="single" w:sz="4" w:space="0" w:color="000001"/>
              <w:left w:val="single" w:sz="4" w:space="0" w:color="000001"/>
              <w:bottom w:val="single" w:sz="4" w:space="0" w:color="000001"/>
              <w:right w:val="single" w:sz="4" w:space="0" w:color="000001"/>
            </w:tcBorders>
            <w:shd w:fill="auto" w:val="clear"/>
            <w:vAlign w:val="center"/>
          </w:tcPr>
          <w:p>
            <w:pPr>
              <w:pStyle w:val="Normal"/>
              <w:widowControl w:val="false"/>
              <w:spacing w:lineRule="auto" w:line="240"/>
              <w:ind w:hanging="0"/>
              <w:jc w:val="center"/>
              <w:rPr>
                <w:i/>
                <w:i/>
                <w:sz w:val="16"/>
                <w:szCs w:val="16"/>
              </w:rPr>
            </w:pPr>
            <w:r>
              <w:rPr>
                <w:i/>
                <w:sz w:val="16"/>
                <w:szCs w:val="16"/>
              </w:rPr>
            </w:r>
          </w:p>
        </w:tc>
        <w:tc>
          <w:tcPr>
            <w:tcW w:w="586"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493"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c>
          <w:tcPr>
            <w:tcW w:w="490" w:type="dxa"/>
            <w:tcBorders>
              <w:top w:val="single" w:sz="4" w:space="0" w:color="000001"/>
              <w:left w:val="single" w:sz="4" w:space="0" w:color="000001"/>
              <w:bottom w:val="single" w:sz="4" w:space="0" w:color="000001"/>
              <w:right w:val="single" w:sz="4" w:space="0" w:color="000001"/>
            </w:tcBorders>
            <w:shd w:fill="auto" w:val="clear"/>
          </w:tcPr>
          <w:p>
            <w:pPr>
              <w:pStyle w:val="Normal"/>
              <w:widowControl w:val="false"/>
              <w:spacing w:lineRule="auto" w:line="240"/>
              <w:ind w:hanging="0"/>
              <w:jc w:val="center"/>
              <w:rPr>
                <w:i/>
                <w:i/>
                <w:sz w:val="16"/>
                <w:szCs w:val="16"/>
              </w:rPr>
            </w:pPr>
            <w:r>
              <w:rPr>
                <w:i/>
                <w:sz w:val="16"/>
                <w:szCs w:val="16"/>
              </w:rPr>
            </w:r>
          </w:p>
        </w:tc>
      </w:tr>
    </w:tbl>
    <w:p>
      <w:pPr>
        <w:pStyle w:val="Normal"/>
        <w:widowControl w:val="false"/>
        <w:spacing w:lineRule="auto" w:line="240"/>
        <w:ind w:hanging="0"/>
        <w:rPr>
          <w:sz w:val="16"/>
          <w:szCs w:val="16"/>
        </w:rPr>
      </w:pPr>
      <w:r>
        <w:rPr>
          <w:sz w:val="16"/>
          <w:szCs w:val="16"/>
        </w:rPr>
        <w:t>Генеральный директор ________________________________</w:t>
      </w:r>
    </w:p>
    <w:p>
      <w:pPr>
        <w:pStyle w:val="Normal"/>
        <w:widowControl w:val="false"/>
        <w:spacing w:lineRule="auto" w:line="240"/>
        <w:ind w:hanging="0"/>
        <w:rPr>
          <w:sz w:val="16"/>
          <w:szCs w:val="16"/>
        </w:rPr>
      </w:pPr>
      <w:r>
        <w:rPr>
          <w:sz w:val="16"/>
          <w:szCs w:val="16"/>
        </w:rPr>
        <w:t xml:space="preserve">Дата составления справки _________     </w:t>
      </w:r>
    </w:p>
    <w:tbl>
      <w:tblPr>
        <w:tblW w:w="16302" w:type="dxa"/>
        <w:jc w:val="left"/>
        <w:tblInd w:w="0" w:type="dxa"/>
        <w:tblLayout w:type="fixed"/>
        <w:tblCellMar>
          <w:top w:w="0" w:type="dxa"/>
          <w:left w:w="108" w:type="dxa"/>
          <w:bottom w:w="0" w:type="dxa"/>
          <w:right w:w="108" w:type="dxa"/>
        </w:tblCellMar>
        <w:tblLook w:val="0000" w:noHBand="0" w:noVBand="0" w:firstColumn="0" w:lastRow="0" w:lastColumn="0" w:firstRow="0"/>
      </w:tblPr>
      <w:tblGrid>
        <w:gridCol w:w="7513"/>
        <w:gridCol w:w="8788"/>
      </w:tblGrid>
      <w:tr>
        <w:trPr/>
        <w:tc>
          <w:tcPr>
            <w:tcW w:w="7513" w:type="dxa"/>
            <w:tcBorders/>
            <w:shd w:fill="auto" w:val="clear"/>
          </w:tcPr>
          <w:p>
            <w:pPr>
              <w:pStyle w:val="Normal"/>
              <w:widowControl w:val="false"/>
              <w:spacing w:lineRule="auto" w:line="240"/>
              <w:ind w:hanging="0"/>
              <w:rPr>
                <w:b/>
                <w:sz w:val="16"/>
                <w:szCs w:val="16"/>
              </w:rPr>
            </w:pPr>
            <w:r>
              <w:rPr>
                <w:b/>
                <w:sz w:val="16"/>
                <w:szCs w:val="16"/>
              </w:rPr>
              <w:t>Заказчик:</w:t>
            </w:r>
          </w:p>
        </w:tc>
        <w:tc>
          <w:tcPr>
            <w:tcW w:w="8788" w:type="dxa"/>
            <w:tcBorders/>
            <w:shd w:fill="auto" w:val="clear"/>
          </w:tcPr>
          <w:p>
            <w:pPr>
              <w:pStyle w:val="Normal"/>
              <w:widowControl w:val="false"/>
              <w:spacing w:lineRule="auto" w:line="240"/>
              <w:ind w:hanging="0"/>
              <w:rPr>
                <w:b/>
                <w:sz w:val="16"/>
                <w:szCs w:val="16"/>
              </w:rPr>
            </w:pPr>
            <w:r>
              <w:rPr>
                <w:b/>
                <w:sz w:val="16"/>
                <w:szCs w:val="16"/>
              </w:rPr>
              <w:t>Подрядчик:</w:t>
            </w:r>
          </w:p>
        </w:tc>
      </w:tr>
      <w:tr>
        <w:trPr/>
        <w:tc>
          <w:tcPr>
            <w:tcW w:w="7513" w:type="dxa"/>
            <w:tcBorders/>
            <w:shd w:fill="auto" w:val="clear"/>
          </w:tcPr>
          <w:p>
            <w:pPr>
              <w:pStyle w:val="Normal"/>
              <w:widowControl w:val="false"/>
              <w:spacing w:lineRule="auto" w:line="240"/>
              <w:ind w:hanging="0"/>
              <w:rPr>
                <w:sz w:val="16"/>
                <w:szCs w:val="16"/>
              </w:rPr>
            </w:pPr>
            <w:r>
              <w:rPr>
                <w:sz w:val="16"/>
                <w:szCs w:val="16"/>
              </w:rPr>
              <w:t xml:space="preserve">______________ /_______________ </w:t>
            </w:r>
          </w:p>
        </w:tc>
        <w:tc>
          <w:tcPr>
            <w:tcW w:w="8788" w:type="dxa"/>
            <w:tcBorders/>
            <w:shd w:fill="auto" w:val="clear"/>
          </w:tcPr>
          <w:p>
            <w:pPr>
              <w:pStyle w:val="Normal"/>
              <w:widowControl w:val="false"/>
              <w:spacing w:lineRule="auto" w:line="240"/>
              <w:ind w:hanging="0"/>
              <w:rPr>
                <w:sz w:val="16"/>
                <w:szCs w:val="16"/>
              </w:rPr>
            </w:pPr>
            <w:r>
              <w:rPr>
                <w:sz w:val="16"/>
                <w:szCs w:val="16"/>
              </w:rPr>
              <w:t xml:space="preserve">_______________ / _______________ </w:t>
            </w:r>
          </w:p>
        </w:tc>
      </w:tr>
    </w:tbl>
    <w:p>
      <w:pPr>
        <w:pStyle w:val="Normal"/>
        <w:shd w:val="clear" w:color="auto" w:fill="FFFFFF"/>
        <w:tabs>
          <w:tab w:val="clear" w:pos="708"/>
          <w:tab w:val="left" w:pos="3148" w:leader="none"/>
          <w:tab w:val="center" w:pos="4818" w:leader="none"/>
          <w:tab w:val="left" w:pos="6926" w:leader="none"/>
        </w:tabs>
        <w:spacing w:lineRule="auto" w:line="240"/>
        <w:ind w:hanging="0"/>
        <w:jc w:val="right"/>
        <w:rPr>
          <w:sz w:val="22"/>
          <w:szCs w:val="22"/>
        </w:rPr>
      </w:pPr>
      <w:r>
        <w:rPr>
          <w:sz w:val="22"/>
          <w:szCs w:val="22"/>
        </w:rPr>
      </w:r>
    </w:p>
    <w:sectPr>
      <w:headerReference w:type="default" r:id="rId5"/>
      <w:headerReference w:type="first" r:id="rId6"/>
      <w:footerReference w:type="default" r:id="rId7"/>
      <w:footerReference w:type="first" r:id="rId8"/>
      <w:footnotePr>
        <w:numFmt w:val="decimal"/>
      </w:footnotePr>
      <w:type w:val="nextPage"/>
      <w:pgSz w:w="11906" w:h="16838"/>
      <w:pgMar w:left="1418" w:right="851" w:gutter="0" w:header="709" w:top="1134" w:footer="709" w:bottom="1134"/>
      <w:pgNumType w:fmt="decimal"/>
      <w:formProt w:val="false"/>
      <w:titlePg/>
      <w:textDirection w:val="lrTb"/>
      <w:docGrid w:type="default" w:linePitch="381" w:charSpace="0"/>
    </w:sectPr>
  </w:body>
</w:document>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PT Sans">
    <w:charset w:val="01"/>
    <w:family w:val="roman"/>
    <w:pitch w:val="variable"/>
  </w:font>
  <w:font w:name="Times New Roman">
    <w:charset w:val="01"/>
    <w:family w:val="roman"/>
    <w:pitch w:val="variable"/>
  </w:font>
  <w:font w:name="Cambria">
    <w:charset w:val="01"/>
    <w:family w:val="roman"/>
    <w:pitch w:val="variable"/>
  </w:font>
  <w:font w:name="Tahoma">
    <w:charset w:val="01"/>
    <w:family w:val="roman"/>
    <w:pitch w:val="variable"/>
  </w:font>
  <w:font w:name="Wingdings">
    <w:charset w:val="01"/>
    <w:family w:val="roman"/>
    <w:pitch w:val="variable"/>
  </w:font>
  <w:font w:name="Courier New">
    <w:charset w:val="01"/>
    <w:family w:val="roman"/>
    <w:pitch w:val="variable"/>
  </w:font>
  <w:font w:name="Symbol">
    <w:charset w:val="01"/>
    <w:family w:val="roman"/>
    <w:pitch w:val="variable"/>
  </w:font>
  <w:font w:name="Liberation Sans">
    <w:altName w:val="Arial"/>
    <w:charset w:val="01"/>
    <w:family w:val="roman"/>
    <w:pitch w:val="variable"/>
  </w:font>
  <w:font w:name="Verdana">
    <w:charset w:val="01"/>
    <w:family w:val="roman"/>
    <w:pitch w:val="variable"/>
  </w:font>
  <w:font w:name="Arial">
    <w:charset w:val="01"/>
    <w:family w:val="roman"/>
    <w:pitch w:val="variable"/>
  </w:font>
  <w:font w:name="Liberation Serif">
    <w:altName w:val="Times New Roman"/>
    <w:charset w:val="01"/>
    <w:family w:val="roman"/>
    <w:pitch w:val="variable"/>
  </w:font>
  <w:font w:name="Symbol">
    <w:charset w:val="02"/>
    <w:family w:val="auto"/>
    <w:pitch w:val="default"/>
  </w:font>
  <w:font w:name="Courier New">
    <w:charset w:val="01"/>
    <w:family w:val="modern"/>
    <w:pitch w:val="fixed"/>
  </w:font>
  <w:font w:name="Wingdings">
    <w:charset w:val="02"/>
    <w:family w:val="auto"/>
    <w:pitch w:val="default"/>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notes.xml><?xml version="1.0" encoding="utf-8"?>
<w:footnote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footnote w:id="0" w:type="separator">
    <w:p>
      <w:pPr>
        <w:rPr>
          <w:sz w:val="12"/>
        </w:rPr>
      </w:pPr>
      <w:r>
        <w:separator/>
      </w:r>
    </w:p>
  </w:footnote>
  <w:footnote w:id="1" w:type="continuationSeparator">
    <w:p>
      <w:pPr>
        <w:rPr>
          <w:sz w:val="12"/>
        </w:rPr>
      </w:pPr>
      <w:r>
        <w:continuationSeparator/>
      </w:r>
    </w:p>
  </w:footnote>
  <w:footnote w:id="2">
    <w:p>
      <w:pPr>
        <w:pStyle w:val="FootnoteText"/>
        <w:jc w:val="both"/>
        <w:rPr/>
      </w:pPr>
      <w:r>
        <w:rPr>
          <w:rStyle w:val="Style6"/>
        </w:rPr>
        <w:footnoteRef/>
      </w:r>
      <w:r>
        <w:rPr>
          <w:rStyle w:val="Style6"/>
        </w:rPr>
        <w:tab/>
      </w:r>
      <w:r>
        <w:rPr/>
        <w:t xml:space="preserve"> </w:t>
      </w:r>
      <w:r>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3">
    <w:p>
      <w:pPr>
        <w:pStyle w:val="FootnoteText"/>
        <w:jc w:val="both"/>
        <w:rPr/>
      </w:pPr>
      <w:r>
        <w:rPr>
          <w:rStyle w:val="Style6"/>
        </w:rPr>
        <w:footnoteRef/>
      </w:r>
      <w:r>
        <w:rPr>
          <w:rStyle w:val="Style6"/>
        </w:rPr>
        <w:tab/>
      </w:r>
      <w:r>
        <w:rPr/>
        <w:t xml:space="preserve"> 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4">
    <w:p>
      <w:pPr>
        <w:pStyle w:val="FootnoteText"/>
        <w:jc w:val="both"/>
        <w:rPr/>
      </w:pPr>
      <w:r>
        <w:rPr>
          <w:rStyle w:val="Style6"/>
        </w:rPr>
        <w:footnoteRef/>
      </w:r>
      <w:r>
        <w:rPr>
          <w:rStyle w:val="Style6"/>
        </w:rPr>
        <w:tab/>
      </w:r>
      <w:r>
        <w:rPr/>
        <w:t xml:space="preserve"> Состав Работ корректируется исходя из содержания Технического задания.</w:t>
      </w:r>
    </w:p>
  </w:footnote>
  <w:footnote w:id="5">
    <w:p>
      <w:pPr>
        <w:pStyle w:val="FootnoteText"/>
        <w:jc w:val="both"/>
        <w:rPr/>
      </w:pPr>
      <w:r>
        <w:rPr>
          <w:rStyle w:val="Style6"/>
        </w:rPr>
        <w:footnoteRef/>
      </w:r>
      <w:r>
        <w:rPr>
          <w:rStyle w:val="Style6"/>
        </w:rPr>
        <w:tab/>
      </w:r>
      <w:r>
        <w:rPr/>
        <w:t xml:space="preserve"> Данная форма Договора не может применяться в случае, если в предмет Договора входит только обследование.</w:t>
      </w:r>
    </w:p>
  </w:footnote>
  <w:footnote w:id="6">
    <w:p>
      <w:pPr>
        <w:pStyle w:val="FootnoteText"/>
        <w:jc w:val="both"/>
        <w:rPr/>
      </w:pPr>
      <w:r>
        <w:rPr>
          <w:rStyle w:val="Style6"/>
        </w:rPr>
        <w:footnoteRef/>
      </w:r>
      <w:r>
        <w:rPr>
          <w:rStyle w:val="Style6"/>
        </w:rPr>
        <w:tab/>
      </w:r>
      <w:r>
        <w:rPr/>
        <w:t xml:space="preserve"> </w:t>
      </w:r>
      <w:r>
        <w:rPr>
          <w:highlight w:val="lightGray"/>
        </w:rPr>
        <w:t>Включается в текст Договора в случае, если в отношении разрабатываемой Проектной документации проведение государственной экспертизы предусмотрено законодательством Российской Федерации о градостроительной деятельности.</w:t>
      </w:r>
    </w:p>
  </w:footnote>
  <w:footnote w:id="7">
    <w:p>
      <w:pPr>
        <w:pStyle w:val="FootnoteText"/>
        <w:jc w:val="both"/>
        <w:rPr/>
      </w:pPr>
      <w:r>
        <w:rPr>
          <w:rStyle w:val="Style6"/>
        </w:rPr>
        <w:footnoteRef/>
      </w:r>
      <w:r>
        <w:rPr>
          <w:rStyle w:val="Style6"/>
        </w:rPr>
        <w:tab/>
      </w:r>
      <w:r>
        <w:rPr/>
        <w:t xml:space="preserve"> </w:t>
      </w:r>
      <w:r>
        <w:rPr>
          <w:highlight w:val="lightGray"/>
        </w:rPr>
        <w:t>Включается в текст Договора в случае, если Заказчиком по Договору является юридическое лицо, доля Российской Федерации, субъекта Российской Федерации, муниципального образования в уставном (складочном) капитале которого составляет более 50 процентов, а также в случае, если строительство объекта финансируется с привлечением средств бюджетов бюджетной системы Российской Федерации, средств юридических лиц, созданных Российской Федерацией, субъектами Российской Федерации, муниципальными образованиями.</w:t>
      </w:r>
    </w:p>
  </w:footnote>
  <w:footnote w:id="8">
    <w:p>
      <w:pPr>
        <w:pStyle w:val="FootnoteText"/>
        <w:jc w:val="both"/>
        <w:rPr/>
      </w:pPr>
      <w:r>
        <w:rPr>
          <w:rStyle w:val="Style6"/>
        </w:rPr>
        <w:footnoteRef/>
      </w:r>
      <w:r>
        <w:rPr>
          <w:rStyle w:val="Style6"/>
        </w:rPr>
        <w:tab/>
      </w:r>
      <w:r>
        <w:rPr/>
        <w:t xml:space="preserve"> Данное ограничение не включает обязанность, установленную пунктом 2.5.1 Договора, по привлечению МСП  к исполнению обязательств по Договору.</w:t>
      </w:r>
    </w:p>
  </w:footnote>
  <w:footnote w:id="9">
    <w:p>
      <w:pPr>
        <w:pStyle w:val="FootnoteText"/>
        <w:rPr/>
      </w:pPr>
      <w:r>
        <w:rPr>
          <w:rStyle w:val="Style6"/>
        </w:rPr>
        <w:footnoteRef/>
      </w:r>
      <w:r>
        <w:rPr>
          <w:rStyle w:val="Style6"/>
        </w:rPr>
        <w:tab/>
      </w:r>
      <w:r>
        <w:rPr/>
        <w:t xml:space="preserve"> Для договоров, заключенных в рамках операционной (текущей) деятельности Общества</w:t>
      </w:r>
    </w:p>
  </w:footnote>
  <w:footnote w:id="10">
    <w:p>
      <w:pPr>
        <w:pStyle w:val="FootnoteText"/>
        <w:rPr/>
      </w:pPr>
      <w:r>
        <w:rPr>
          <w:rStyle w:val="Style6"/>
        </w:rPr>
        <w:footnoteRef/>
      </w:r>
      <w:r>
        <w:rPr>
          <w:rStyle w:val="Style6"/>
        </w:rPr>
        <w:tab/>
      </w:r>
      <w:r>
        <w:rPr/>
        <w:t xml:space="preserve"> Для договоров, заключенных в рамках реализации инвестиционной программы Общества</w:t>
      </w:r>
    </w:p>
  </w:footnote>
  <w:footnote w:id="11">
    <w:p>
      <w:pPr>
        <w:pStyle w:val="FootnoteText"/>
        <w:jc w:val="both"/>
        <w:rPr/>
      </w:pPr>
      <w:r>
        <w:rPr>
          <w:rStyle w:val="Style6"/>
        </w:rPr>
        <w:footnoteRef/>
      </w:r>
      <w:r>
        <w:rPr>
          <w:rStyle w:val="Style6"/>
        </w:rPr>
        <w:tab/>
      </w:r>
      <w:r>
        <w:rPr/>
        <w:t xml:space="preserve"> Применяется в случае, если Контрагент является субъектом МСП, для закупок, участниками которых могут быть только субъекты  МСП, а также в случае, если по результатам закупки среди любых участников победителем закупки признан субъект МСП, при этом Общество попадает под действие постановления Правительства РФ от 11.12.2014 №1352 «Об особенностях участия субъектов малого и среднего предпринимательства в закупках товаров, работ, услуг отдельными видами юридических лиц».</w:t>
      </w:r>
    </w:p>
  </w:footnote>
  <w:footnote w:id="12">
    <w:p>
      <w:pPr>
        <w:pStyle w:val="FootnoteText"/>
        <w:rPr/>
      </w:pPr>
      <w:r>
        <w:rPr>
          <w:rStyle w:val="Style6"/>
        </w:rPr>
        <w:footnoteRef/>
      </w:r>
      <w:r>
        <w:rPr>
          <w:rFonts w:ascii="Liberation Serif" w:hAnsi="Liberation Serif"/>
          <w:sz w:val="22"/>
          <w:szCs w:val="22"/>
        </w:rPr>
        <w:t xml:space="preserve"> </w:t>
      </w:r>
      <w:r>
        <w:rPr>
          <w:rFonts w:ascii="Liberation Serif" w:hAnsi="Liberation Serif"/>
          <w:sz w:val="22"/>
          <w:szCs w:val="22"/>
        </w:rPr>
        <w:t>Приказ ФНС России от 20.01.2025 N ЕД-7-26/28@ «</w:t>
      </w:r>
      <w:r>
        <w:rPr>
          <w:rFonts w:ascii="Liberation Serif" w:hAnsi="Liberation Serif"/>
          <w:b w:val="false"/>
        </w:rPr>
        <w:t>О признании утратившими силу приказов ФНС России от 30.11.2015 N ММВ-7-10/551@ "Об утверждении формата представления документа о передаче товаров при торговых операциях в электронной форме" и от 30.11.2015 N ММВ-7-10/552@ "Об утверждении формата представления документа о передаче результатов работ (документа об оказании услуг) в электронной форме»</w:t>
      </w:r>
    </w:p>
  </w:footnote>
  <w:footnote w:id="13">
    <w:p>
      <w:pPr>
        <w:pStyle w:val="FootnoteText"/>
        <w:jc w:val="both"/>
        <w:rPr/>
      </w:pPr>
      <w:r>
        <w:rPr>
          <w:rStyle w:val="Style6"/>
        </w:rPr>
        <w:footnoteRef/>
      </w:r>
      <w:r>
        <w:rPr>
          <w:rStyle w:val="Style6"/>
        </w:rPr>
        <w:tab/>
      </w:r>
      <w:r>
        <w:rPr/>
        <w:t xml:space="preserve"> Срок 30 кал.дней применяется для договоров срок окончания выполнения работ по которым составляет не более 6 (шести) месяцев с момента заключения договора.</w:t>
      </w:r>
    </w:p>
  </w:footnote>
  <w:footnote w:id="14">
    <w:p>
      <w:pPr>
        <w:pStyle w:val="FootnoteText"/>
        <w:jc w:val="both"/>
        <w:rPr/>
      </w:pPr>
      <w:r>
        <w:rPr>
          <w:rStyle w:val="Style6"/>
        </w:rPr>
        <w:footnoteRef/>
      </w:r>
      <w:r>
        <w:rPr>
          <w:rStyle w:val="Style6"/>
        </w:rPr>
        <w:tab/>
      </w:r>
      <w:r>
        <w:rPr/>
        <w:t xml:space="preserve"> С учетом комментариев к пункту 2.3.7 Договора.</w:t>
      </w:r>
    </w:p>
  </w:footnote>
  <w:footnote w:id="15">
    <w:p>
      <w:pPr>
        <w:pStyle w:val="FootnoteText"/>
        <w:rPr/>
      </w:pPr>
      <w:r>
        <w:rPr>
          <w:rStyle w:val="Style6"/>
        </w:rPr>
        <w:footnoteRef/>
      </w:r>
      <w:r>
        <w:rPr>
          <w:rStyle w:val="Style6"/>
        </w:rPr>
        <w:tab/>
      </w:r>
      <w:r>
        <w:rPr/>
        <w:t xml:space="preserve"> Абзацы второй и третий включаются в текст договора в случае заключения договора в электронной форме.</w:t>
      </w:r>
    </w:p>
  </w:footnote>
  <w:footnote w:id="16">
    <w:p>
      <w:pPr>
        <w:pStyle w:val="FootnoteText"/>
        <w:jc w:val="both"/>
        <w:rPr/>
      </w:pPr>
      <w:r>
        <w:rPr>
          <w:rStyle w:val="Style6"/>
        </w:rPr>
        <w:footnoteRef/>
      </w:r>
      <w:r>
        <w:rPr>
          <w:rStyle w:val="Style6"/>
        </w:rPr>
        <w:tab/>
      </w:r>
      <w:r>
        <w:rPr/>
        <w:t xml:space="preserve"> </w:t>
      </w:r>
      <w:r>
        <w:rPr>
          <w:highlight w:val="lightGray"/>
        </w:rPr>
        <w:t>Применяется в случае подписания собственноручно без использования усиленных квалифицированных электронных подписей (УКЭП).</w:t>
      </w:r>
    </w:p>
  </w:footnote>
  <w:footnote w:id="17">
    <w:p>
      <w:pPr>
        <w:pStyle w:val="Normal"/>
        <w:rPr>
          <w:sz w:val="24"/>
          <w:szCs w:val="24"/>
        </w:rPr>
      </w:pPr>
      <w:r>
        <w:rPr>
          <w:rStyle w:val="Style6"/>
        </w:rPr>
        <w:t></w:t>
      </w:r>
      <w:r>
        <w:rPr>
          <w:rStyle w:val="Style6"/>
        </w:rPr>
        <w:t></w:t>
      </w:r>
      <w:r>
        <w:rPr>
          <w:rStyle w:val="Style6"/>
        </w:rPr>
        <w:tab/>
        <w:t></w:t>
      </w:r>
      <w:r>
        <w:rPr/>
        <w:t xml:space="preserve"> </w:t>
      </w:r>
      <w:r>
        <w:rPr>
          <w:sz w:val="20"/>
        </w:rPr>
        <w:t>В соответствии со статьей 4 Федерального закона от 24.07.2007 № 209-ФЗ «О развитии малого и среднего предпринимательства в Российской Федерации» Подрядчик определяет и указывает критерий отнесения организации из числа: микропредприятия, малые предприятия и средние предприятия.</w:t>
      </w:r>
      <w:r>
        <w:rPr>
          <w:sz w:val="24"/>
          <w:szCs w:val="24"/>
        </w:rPr>
        <w:t xml:space="preserve">   </w:t>
      </w:r>
    </w:p>
    <w:p>
      <w:pPr>
        <w:pStyle w:val="FootnoteText"/>
        <w:rPr/>
      </w:pPr>
      <w:r>
        <w:rPr/>
      </w:r>
    </w:p>
  </w:footnote>
</w:footnotes>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Normal"/>
      <w:shd w:val="clear" w:color="auto" w:fill="FFFFFF"/>
      <w:tabs>
        <w:tab w:val="clear" w:pos="708"/>
        <w:tab w:val="left" w:pos="3148" w:leader="none"/>
        <w:tab w:val="center" w:pos="4818" w:leader="none"/>
        <w:tab w:val="left" w:pos="6926" w:leader="none"/>
      </w:tabs>
      <w:spacing w:lineRule="auto" w:line="240"/>
      <w:ind w:firstLine="709"/>
      <w:jc w:val="center"/>
      <w:rPr/>
    </w:pPr>
    <w:r>
      <w:rPr>
        <w:i/>
        <w:color w:val="000000"/>
        <w:sz w:val="22"/>
      </w:rPr>
      <w:t>ТФД №1.5.2. Договор подряда на выполнение проектных работ c ПО, предусматривающий один этап, без банковских гарантий (с оговорками по привлечению МСП на субподряд)</w:t>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abstractNum w:abstractNumId="2">
    <w:lvl w:ilvl="0">
      <w:start w:val="1"/>
      <w:numFmt w:val="decimal"/>
      <w:lvlText w:val="%1."/>
      <w:lvlJc w:val="left"/>
      <w:pPr>
        <w:tabs>
          <w:tab w:val="num" w:pos="0"/>
        </w:tabs>
        <w:ind w:left="2204" w:hanging="360"/>
      </w:pPr>
      <w:rPr>
        <w:b/>
      </w:rPr>
    </w:lvl>
    <w:lvl w:ilvl="1">
      <w:start w:val="1"/>
      <w:numFmt w:val="decimal"/>
      <w:lvlText w:val="%1.%2."/>
      <w:lvlJc w:val="left"/>
      <w:pPr>
        <w:tabs>
          <w:tab w:val="num" w:pos="0"/>
        </w:tabs>
        <w:ind w:left="1567" w:hanging="432"/>
      </w:pPr>
      <w:rPr>
        <w:sz w:val="24"/>
        <w:u w:val="none"/>
        <w:b/>
      </w:rPr>
    </w:lvl>
    <w:lvl w:ilvl="2">
      <w:start w:val="1"/>
      <w:numFmt w:val="decimal"/>
      <w:lvlText w:val="%1.%2.%3."/>
      <w:lvlJc w:val="left"/>
      <w:pPr>
        <w:tabs>
          <w:tab w:val="num" w:pos="0"/>
        </w:tabs>
        <w:ind w:left="1214" w:hanging="504"/>
      </w:pPr>
      <w:rPr>
        <w:sz w:val="24"/>
        <w:b/>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3">
    <w:lvl w:ilvl="0">
      <w:start w:val="1"/>
      <w:numFmt w:val="bullet"/>
      <w:lvlText w:val=""/>
      <w:lvlJc w:val="left"/>
      <w:pPr>
        <w:tabs>
          <w:tab w:val="num" w:pos="0"/>
        </w:tabs>
        <w:ind w:left="1287" w:hanging="360"/>
      </w:pPr>
      <w:rPr>
        <w:rFonts w:ascii="Symbol" w:hAnsi="Symbol" w:cs="Symbol" w:hint="default"/>
        <w:sz w:val="24"/>
        <w:b/>
      </w:rPr>
    </w:lvl>
    <w:lvl w:ilvl="1">
      <w:start w:val="1"/>
      <w:numFmt w:val="bullet"/>
      <w:lvlText w:val="o"/>
      <w:lvlJc w:val="left"/>
      <w:pPr>
        <w:tabs>
          <w:tab w:val="num" w:pos="0"/>
        </w:tabs>
        <w:ind w:left="2007" w:hanging="360"/>
      </w:pPr>
      <w:rPr>
        <w:rFonts w:ascii="Courier New" w:hAnsi="Courier New" w:cs="Courier New" w:hint="default"/>
      </w:rPr>
    </w:lvl>
    <w:lvl w:ilvl="2">
      <w:start w:val="1"/>
      <w:numFmt w:val="bullet"/>
      <w:lvlText w:val=""/>
      <w:lvlJc w:val="left"/>
      <w:pPr>
        <w:tabs>
          <w:tab w:val="num" w:pos="0"/>
        </w:tabs>
        <w:ind w:left="2727" w:hanging="360"/>
      </w:pPr>
      <w:rPr>
        <w:rFonts w:ascii="Wingdings" w:hAnsi="Wingdings" w:cs="Wingdings" w:hint="default"/>
      </w:rPr>
    </w:lvl>
    <w:lvl w:ilvl="3">
      <w:start w:val="1"/>
      <w:numFmt w:val="bullet"/>
      <w:lvlText w:val=""/>
      <w:lvlJc w:val="left"/>
      <w:pPr>
        <w:tabs>
          <w:tab w:val="num" w:pos="0"/>
        </w:tabs>
        <w:ind w:left="3447" w:hanging="360"/>
      </w:pPr>
      <w:rPr>
        <w:rFonts w:ascii="Symbol" w:hAnsi="Symbol" w:cs="Symbol" w:hint="default"/>
      </w:rPr>
    </w:lvl>
    <w:lvl w:ilvl="4">
      <w:start w:val="1"/>
      <w:numFmt w:val="bullet"/>
      <w:lvlText w:val="o"/>
      <w:lvlJc w:val="left"/>
      <w:pPr>
        <w:tabs>
          <w:tab w:val="num" w:pos="0"/>
        </w:tabs>
        <w:ind w:left="4167" w:hanging="360"/>
      </w:pPr>
      <w:rPr>
        <w:rFonts w:ascii="Courier New" w:hAnsi="Courier New" w:cs="Courier New" w:hint="default"/>
      </w:rPr>
    </w:lvl>
    <w:lvl w:ilvl="5">
      <w:start w:val="1"/>
      <w:numFmt w:val="bullet"/>
      <w:lvlText w:val=""/>
      <w:lvlJc w:val="left"/>
      <w:pPr>
        <w:tabs>
          <w:tab w:val="num" w:pos="0"/>
        </w:tabs>
        <w:ind w:left="4887" w:hanging="360"/>
      </w:pPr>
      <w:rPr>
        <w:rFonts w:ascii="Wingdings" w:hAnsi="Wingdings" w:cs="Wingdings" w:hint="default"/>
      </w:rPr>
    </w:lvl>
    <w:lvl w:ilvl="6">
      <w:start w:val="1"/>
      <w:numFmt w:val="bullet"/>
      <w:lvlText w:val=""/>
      <w:lvlJc w:val="left"/>
      <w:pPr>
        <w:tabs>
          <w:tab w:val="num" w:pos="0"/>
        </w:tabs>
        <w:ind w:left="5607" w:hanging="360"/>
      </w:pPr>
      <w:rPr>
        <w:rFonts w:ascii="Symbol" w:hAnsi="Symbol" w:cs="Symbol" w:hint="default"/>
      </w:rPr>
    </w:lvl>
    <w:lvl w:ilvl="7">
      <w:start w:val="1"/>
      <w:numFmt w:val="bullet"/>
      <w:lvlText w:val="o"/>
      <w:lvlJc w:val="left"/>
      <w:pPr>
        <w:tabs>
          <w:tab w:val="num" w:pos="0"/>
        </w:tabs>
        <w:ind w:left="6327" w:hanging="360"/>
      </w:pPr>
      <w:rPr>
        <w:rFonts w:ascii="Courier New" w:hAnsi="Courier New" w:cs="Courier New" w:hint="default"/>
      </w:rPr>
    </w:lvl>
    <w:lvl w:ilvl="8">
      <w:start w:val="1"/>
      <w:numFmt w:val="bullet"/>
      <w:lvlText w:val=""/>
      <w:lvlJc w:val="left"/>
      <w:pPr>
        <w:tabs>
          <w:tab w:val="num" w:pos="0"/>
        </w:tabs>
        <w:ind w:left="7047" w:hanging="360"/>
      </w:pPr>
      <w:rPr>
        <w:rFonts w:ascii="Wingdings" w:hAnsi="Wingdings" w:cs="Wingdings" w:hint="default"/>
      </w:rPr>
    </w:lvl>
  </w:abstractNum>
  <w:abstractNum w:abstractNumId="4">
    <w:lvl w:ilvl="0">
      <w:start w:val="1"/>
      <w:numFmt w:val="bullet"/>
      <w:lvlText w:val=""/>
      <w:lvlJc w:val="left"/>
      <w:pPr>
        <w:tabs>
          <w:tab w:val="num" w:pos="0"/>
        </w:tabs>
        <w:ind w:left="1428" w:hanging="360"/>
      </w:pPr>
      <w:rPr>
        <w:rFonts w:ascii="Symbol" w:hAnsi="Symbol" w:cs="Symbol" w:hint="default"/>
      </w:rPr>
    </w:lvl>
    <w:lvl w:ilvl="1">
      <w:start w:val="1"/>
      <w:numFmt w:val="bullet"/>
      <w:lvlText w:val="o"/>
      <w:lvlJc w:val="left"/>
      <w:pPr>
        <w:tabs>
          <w:tab w:val="num" w:pos="0"/>
        </w:tabs>
        <w:ind w:left="2148" w:hanging="360"/>
      </w:pPr>
      <w:rPr>
        <w:rFonts w:ascii="Courier New" w:hAnsi="Courier New" w:cs="Courier New" w:hint="default"/>
      </w:rPr>
    </w:lvl>
    <w:lvl w:ilvl="2">
      <w:start w:val="1"/>
      <w:numFmt w:val="bullet"/>
      <w:lvlText w:val=""/>
      <w:lvlJc w:val="left"/>
      <w:pPr>
        <w:tabs>
          <w:tab w:val="num" w:pos="0"/>
        </w:tabs>
        <w:ind w:left="2868" w:hanging="360"/>
      </w:pPr>
      <w:rPr>
        <w:rFonts w:ascii="Wingdings" w:hAnsi="Wingdings" w:cs="Wingdings" w:hint="default"/>
      </w:rPr>
    </w:lvl>
    <w:lvl w:ilvl="3">
      <w:start w:val="1"/>
      <w:numFmt w:val="bullet"/>
      <w:lvlText w:val=""/>
      <w:lvlJc w:val="left"/>
      <w:pPr>
        <w:tabs>
          <w:tab w:val="num" w:pos="0"/>
        </w:tabs>
        <w:ind w:left="3588" w:hanging="360"/>
      </w:pPr>
      <w:rPr>
        <w:rFonts w:ascii="Symbol" w:hAnsi="Symbol" w:cs="Symbol" w:hint="default"/>
      </w:rPr>
    </w:lvl>
    <w:lvl w:ilvl="4">
      <w:start w:val="1"/>
      <w:numFmt w:val="bullet"/>
      <w:lvlText w:val="o"/>
      <w:lvlJc w:val="left"/>
      <w:pPr>
        <w:tabs>
          <w:tab w:val="num" w:pos="0"/>
        </w:tabs>
        <w:ind w:left="4308" w:hanging="360"/>
      </w:pPr>
      <w:rPr>
        <w:rFonts w:ascii="Courier New" w:hAnsi="Courier New" w:cs="Courier New" w:hint="default"/>
      </w:rPr>
    </w:lvl>
    <w:lvl w:ilvl="5">
      <w:start w:val="1"/>
      <w:numFmt w:val="bullet"/>
      <w:lvlText w:val=""/>
      <w:lvlJc w:val="left"/>
      <w:pPr>
        <w:tabs>
          <w:tab w:val="num" w:pos="0"/>
        </w:tabs>
        <w:ind w:left="5028" w:hanging="360"/>
      </w:pPr>
      <w:rPr>
        <w:rFonts w:ascii="Wingdings" w:hAnsi="Wingdings" w:cs="Wingdings" w:hint="default"/>
      </w:rPr>
    </w:lvl>
    <w:lvl w:ilvl="6">
      <w:start w:val="1"/>
      <w:numFmt w:val="bullet"/>
      <w:lvlText w:val=""/>
      <w:lvlJc w:val="left"/>
      <w:pPr>
        <w:tabs>
          <w:tab w:val="num" w:pos="0"/>
        </w:tabs>
        <w:ind w:left="5748" w:hanging="360"/>
      </w:pPr>
      <w:rPr>
        <w:rFonts w:ascii="Symbol" w:hAnsi="Symbol" w:cs="Symbol" w:hint="default"/>
      </w:rPr>
    </w:lvl>
    <w:lvl w:ilvl="7">
      <w:start w:val="1"/>
      <w:numFmt w:val="bullet"/>
      <w:lvlText w:val="o"/>
      <w:lvlJc w:val="left"/>
      <w:pPr>
        <w:tabs>
          <w:tab w:val="num" w:pos="0"/>
        </w:tabs>
        <w:ind w:left="6468" w:hanging="360"/>
      </w:pPr>
      <w:rPr>
        <w:rFonts w:ascii="Courier New" w:hAnsi="Courier New" w:cs="Courier New" w:hint="default"/>
      </w:rPr>
    </w:lvl>
    <w:lvl w:ilvl="8">
      <w:start w:val="1"/>
      <w:numFmt w:val="bullet"/>
      <w:lvlText w:val=""/>
      <w:lvlJc w:val="left"/>
      <w:pPr>
        <w:tabs>
          <w:tab w:val="num" w:pos="0"/>
        </w:tabs>
        <w:ind w:left="7188" w:hanging="360"/>
      </w:pPr>
      <w:rPr>
        <w:rFonts w:ascii="Wingdings" w:hAnsi="Wingdings" w:cs="Wingdings" w:hint="default"/>
      </w:rPr>
    </w:lvl>
  </w:abstractNum>
  <w:abstractNum w:abstractNumId="5">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6">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7">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9">
    <w:lvl w:ilvl="0">
      <w:start w:val="1"/>
      <w:numFmt w:val="decimal"/>
      <w:lvlText w:val="%1."/>
      <w:lvlJc w:val="left"/>
      <w:pPr>
        <w:tabs>
          <w:tab w:val="num" w:pos="0"/>
        </w:tabs>
        <w:ind w:left="2204" w:hanging="360"/>
      </w:pPr>
      <w:rPr>
        <w:b/>
      </w:rPr>
    </w:lvl>
    <w:lvl w:ilvl="1">
      <w:start w:val="1"/>
      <w:numFmt w:val="bullet"/>
      <w:lvlText w:val=""/>
      <w:lvlJc w:val="left"/>
      <w:pPr>
        <w:tabs>
          <w:tab w:val="num" w:pos="0"/>
        </w:tabs>
        <w:ind w:left="1283" w:hanging="432"/>
      </w:pPr>
      <w:rPr>
        <w:rFonts w:ascii="Symbol" w:hAnsi="Symbol" w:cs="Symbol" w:hint="default"/>
        <w:u w:val="none"/>
        <w:b/>
      </w:rPr>
    </w:lvl>
    <w:lvl w:ilvl="2">
      <w:start w:val="1"/>
      <w:numFmt w:val="decimal"/>
      <w:lvlText w:val="%1.%2.%3."/>
      <w:lvlJc w:val="left"/>
      <w:pPr>
        <w:tabs>
          <w:tab w:val="num" w:pos="0"/>
        </w:tabs>
        <w:ind w:left="1355" w:hanging="504"/>
      </w:pPr>
      <w:rPr>
        <w:sz w:val="24"/>
        <w:b w:val="false"/>
        <w:szCs w:val="24"/>
      </w:rPr>
    </w:lvl>
    <w:lvl w:ilvl="3">
      <w:start w:val="1"/>
      <w:numFmt w:val="decimal"/>
      <w:lvlText w:val="%1.%2.%3.%4."/>
      <w:lvlJc w:val="left"/>
      <w:pPr>
        <w:tabs>
          <w:tab w:val="num" w:pos="0"/>
        </w:tabs>
        <w:ind w:left="2917"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10">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1">
    <w:lvl w:ilvl="0">
      <w:start w:val="1"/>
      <w:numFmt w:val="bullet"/>
      <w:lvlText w:val=""/>
      <w:lvlJc w:val="left"/>
      <w:pPr>
        <w:tabs>
          <w:tab w:val="num" w:pos="0"/>
        </w:tabs>
        <w:ind w:left="1429" w:hanging="360"/>
      </w:pPr>
      <w:rPr>
        <w:rFonts w:ascii="Symbol" w:hAnsi="Symbol" w:cs="Symbol" w:hint="default"/>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abstractNum w:abstractNumId="12">
    <w:lvl w:ilvl="0">
      <w:start w:val="1"/>
      <w:numFmt w:val="bullet"/>
      <w:lvlText w:val=""/>
      <w:lvlJc w:val="left"/>
      <w:pPr>
        <w:tabs>
          <w:tab w:val="num" w:pos="0"/>
        </w:tabs>
        <w:ind w:left="1429" w:hanging="360"/>
      </w:pPr>
      <w:rPr>
        <w:rFonts w:ascii="Symbol" w:hAnsi="Symbol" w:cs="Symbol" w:hint="default"/>
        <w:b/>
      </w:rPr>
    </w:lvl>
    <w:lvl w:ilvl="1">
      <w:start w:val="1"/>
      <w:numFmt w:val="bullet"/>
      <w:lvlText w:val="o"/>
      <w:lvlJc w:val="left"/>
      <w:pPr>
        <w:tabs>
          <w:tab w:val="num" w:pos="0"/>
        </w:tabs>
        <w:ind w:left="2149" w:hanging="360"/>
      </w:pPr>
      <w:rPr>
        <w:rFonts w:ascii="Courier New" w:hAnsi="Courier New" w:cs="Courier New" w:hint="default"/>
      </w:rPr>
    </w:lvl>
    <w:lvl w:ilvl="2">
      <w:start w:val="1"/>
      <w:numFmt w:val="bullet"/>
      <w:lvlText w:val=""/>
      <w:lvlJc w:val="left"/>
      <w:pPr>
        <w:tabs>
          <w:tab w:val="num" w:pos="0"/>
        </w:tabs>
        <w:ind w:left="2869" w:hanging="360"/>
      </w:pPr>
      <w:rPr>
        <w:rFonts w:ascii="Wingdings" w:hAnsi="Wingdings" w:cs="Wingdings" w:hint="default"/>
      </w:rPr>
    </w:lvl>
    <w:lvl w:ilvl="3">
      <w:start w:val="1"/>
      <w:numFmt w:val="bullet"/>
      <w:lvlText w:val=""/>
      <w:lvlJc w:val="left"/>
      <w:pPr>
        <w:tabs>
          <w:tab w:val="num" w:pos="0"/>
        </w:tabs>
        <w:ind w:left="3589" w:hanging="360"/>
      </w:pPr>
      <w:rPr>
        <w:rFonts w:ascii="Symbol" w:hAnsi="Symbol" w:cs="Symbol" w:hint="default"/>
      </w:rPr>
    </w:lvl>
    <w:lvl w:ilvl="4">
      <w:start w:val="1"/>
      <w:numFmt w:val="bullet"/>
      <w:lvlText w:val="o"/>
      <w:lvlJc w:val="left"/>
      <w:pPr>
        <w:tabs>
          <w:tab w:val="num" w:pos="0"/>
        </w:tabs>
        <w:ind w:left="4309" w:hanging="360"/>
      </w:pPr>
      <w:rPr>
        <w:rFonts w:ascii="Courier New" w:hAnsi="Courier New" w:cs="Courier New" w:hint="default"/>
      </w:rPr>
    </w:lvl>
    <w:lvl w:ilvl="5">
      <w:start w:val="1"/>
      <w:numFmt w:val="bullet"/>
      <w:lvlText w:val=""/>
      <w:lvlJc w:val="left"/>
      <w:pPr>
        <w:tabs>
          <w:tab w:val="num" w:pos="0"/>
        </w:tabs>
        <w:ind w:left="5029" w:hanging="360"/>
      </w:pPr>
      <w:rPr>
        <w:rFonts w:ascii="Wingdings" w:hAnsi="Wingdings" w:cs="Wingdings" w:hint="default"/>
      </w:rPr>
    </w:lvl>
    <w:lvl w:ilvl="6">
      <w:start w:val="1"/>
      <w:numFmt w:val="bullet"/>
      <w:lvlText w:val=""/>
      <w:lvlJc w:val="left"/>
      <w:pPr>
        <w:tabs>
          <w:tab w:val="num" w:pos="0"/>
        </w:tabs>
        <w:ind w:left="5749" w:hanging="360"/>
      </w:pPr>
      <w:rPr>
        <w:rFonts w:ascii="Symbol" w:hAnsi="Symbol" w:cs="Symbol" w:hint="default"/>
      </w:rPr>
    </w:lvl>
    <w:lvl w:ilvl="7">
      <w:start w:val="1"/>
      <w:numFmt w:val="bullet"/>
      <w:lvlText w:val="o"/>
      <w:lvlJc w:val="left"/>
      <w:pPr>
        <w:tabs>
          <w:tab w:val="num" w:pos="0"/>
        </w:tabs>
        <w:ind w:left="6469" w:hanging="360"/>
      </w:pPr>
      <w:rPr>
        <w:rFonts w:ascii="Courier New" w:hAnsi="Courier New" w:cs="Courier New" w:hint="default"/>
      </w:rPr>
    </w:lvl>
    <w:lvl w:ilvl="8">
      <w:start w:val="1"/>
      <w:numFmt w:val="bullet"/>
      <w:lvlText w:val=""/>
      <w:lvlJc w:val="left"/>
      <w:pPr>
        <w:tabs>
          <w:tab w:val="num" w:pos="0"/>
        </w:tabs>
        <w:ind w:left="7189" w:hanging="360"/>
      </w:pPr>
      <w:rPr>
        <w:rFonts w:ascii="Wingdings" w:hAnsi="Wingdings" w:cs="Wingdings" w:hint="default"/>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 w:numId="11">
    <w:abstractNumId w:val="11"/>
  </w:num>
  <w:num w:numId="12">
    <w:abstractNumId w:val="12"/>
  </w:num>
</w:numbering>
</file>

<file path=word/settings.xml><?xml version="1.0" encoding="utf-8"?>
<w:settings xmlns:w="http://schemas.openxmlformats.org/wordprocessingml/2006/main">
  <w:zoom w:percent="130"/>
  <w:embedSystemFonts/>
  <w:defaultTabStop w:val="708"/>
  <w:autoHyphenation w:val="true"/>
  <w:footnotePr>
    <w:numFmt w:val="decimal"/>
    <w:footnote w:id="0"/>
    <w:footnote w:id="1"/>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themeFontLang w:val="ru-RU"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ru-RU" w:eastAsia="ru-RU" w:bidi="ar-SA"/>
      </w:rPr>
    </w:rPrDefault>
    <w:pPrDefault>
      <w:pPr>
        <w:suppressAutoHyphens w:val="true"/>
      </w:pPr>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9"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uiPriority="0" w:semiHidden="1" w:unhideWhenUsed="1"/>
    <w:lsdException w:name="header" w:uiPriority="0" w:semiHidden="1" w:unhideWhenUsed="1"/>
    <w:lsdException w:name="footer" w:semiHidden="1" w:unhideWhenUsed="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uiPriority="1" w:semiHidden="1" w:unhideWhenUsed="1"/>
    <w:lsdException w:name="Body Text" w:uiPriority="0" w:semiHidden="1" w:unhideWhenUsed="1"/>
    <w:lsdException w:name="Body Text Indent" w:uiPriority="0"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semiHidden="1" w:unhideWhenUsed="1"/>
    <w:lsdException w:name="Body Text 3" w:uiPriority="0" w:semiHidden="1" w:unhideWhenUsed="1"/>
    <w:lsdException w:name="Body Text Indent 2" w:semiHidden="1" w:unhideWhenUsed="1"/>
    <w:lsdException w:name="Body Text Indent 3" w:uiPriority="0" w:semiHidden="1" w:unhideWhenUsed="1"/>
    <w:lsdException w:name="Block Text" w:semiHidden="1" w:unhideWhenUsed="1"/>
    <w:lsdException w:name="Hyperlink" w:uiPriority="0"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uiPriority="0"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0"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rsid w:val="0016193c"/>
    <w:pPr>
      <w:widowControl/>
      <w:suppressAutoHyphens w:val="true"/>
      <w:bidi w:val="0"/>
      <w:spacing w:lineRule="auto" w:line="360" w:before="0" w:after="0"/>
      <w:ind w:firstLine="567"/>
      <w:jc w:val="both"/>
    </w:pPr>
    <w:rPr>
      <w:rFonts w:ascii="Times New Roman" w:hAnsi="Times New Roman" w:eastAsia="Times New Roman" w:cs="Times New Roman"/>
      <w:color w:val="00000A"/>
      <w:kern w:val="0"/>
      <w:sz w:val="28"/>
      <w:szCs w:val="28"/>
      <w:lang w:val="ru-RU" w:eastAsia="ru-RU" w:bidi="ar-SA"/>
    </w:rPr>
  </w:style>
  <w:style w:type="paragraph" w:styleId="Heading1">
    <w:name w:val="Heading 1"/>
    <w:basedOn w:val="Normal"/>
    <w:next w:val="Normal"/>
    <w:link w:val="11"/>
    <w:qFormat/>
    <w:rsid w:val="00ae674d"/>
    <w:pPr>
      <w:keepNext w:val="true"/>
      <w:spacing w:before="240" w:after="60"/>
      <w:outlineLvl w:val="0"/>
    </w:pPr>
    <w:rPr>
      <w:rFonts w:ascii="Cambria" w:hAnsi="Cambria"/>
      <w:b/>
      <w:bCs/>
      <w:sz w:val="32"/>
      <w:szCs w:val="32"/>
      <w:lang w:val="x-none" w:eastAsia="x-none"/>
    </w:rPr>
  </w:style>
  <w:style w:type="paragraph" w:styleId="Heading2">
    <w:name w:val="Heading 2"/>
    <w:basedOn w:val="Normal"/>
    <w:next w:val="Normal"/>
    <w:link w:val="2"/>
    <w:qFormat/>
    <w:rsid w:val="00ae674d"/>
    <w:pPr>
      <w:keepNext w:val="true"/>
      <w:spacing w:before="240" w:after="60"/>
      <w:outlineLvl w:val="1"/>
    </w:pPr>
    <w:rPr>
      <w:rFonts w:ascii="Cambria" w:hAnsi="Cambria"/>
      <w:b/>
      <w:bCs/>
      <w:i/>
      <w:iCs/>
      <w:lang w:val="x-none" w:eastAsia="x-none"/>
    </w:rPr>
  </w:style>
  <w:style w:type="paragraph" w:styleId="Heading3">
    <w:name w:val="Heading 3"/>
    <w:basedOn w:val="Normal"/>
    <w:next w:val="Normal"/>
    <w:link w:val="3"/>
    <w:uiPriority w:val="9"/>
    <w:qFormat/>
    <w:rsid w:val="005f3f9e"/>
    <w:pPr>
      <w:keepNext w:val="true"/>
      <w:suppressAutoHyphens w:val="true"/>
      <w:spacing w:lineRule="auto" w:line="240" w:before="120" w:after="120"/>
      <w:ind w:hanging="0"/>
      <w:jc w:val="left"/>
      <w:outlineLvl w:val="2"/>
    </w:pPr>
    <w:rPr>
      <w:b/>
      <w:szCs w:val="20"/>
      <w:lang w:val="x-none" w:eastAsia="x-none"/>
    </w:rPr>
  </w:style>
  <w:style w:type="character" w:styleId="DefaultParagraphFont" w:default="1">
    <w:name w:val="Default Paragraph Font"/>
    <w:uiPriority w:val="1"/>
    <w:semiHidden/>
    <w:unhideWhenUsed/>
    <w:qFormat/>
    <w:rPr/>
  </w:style>
  <w:style w:type="character" w:styleId="Style6">
    <w:name w:val="Символ сноски"/>
    <w:qFormat/>
    <w:rPr>
      <w:vertAlign w:val="superscript"/>
    </w:rPr>
  </w:style>
  <w:style w:type="character" w:styleId="FootnoteReference">
    <w:name w:val="Footnote Reference"/>
    <w:rPr>
      <w:vertAlign w:val="superscript"/>
    </w:rPr>
  </w:style>
  <w:style w:type="character" w:styleId="FootnoteCharacters">
    <w:name w:val="Footnote Characters"/>
    <w:uiPriority w:val="99"/>
    <w:qFormat/>
    <w:rsid w:val="00d45657"/>
    <w:rPr>
      <w:vertAlign w:val="superscript"/>
    </w:rPr>
  </w:style>
  <w:style w:type="character" w:styleId="3" w:customStyle="1">
    <w:name w:val="Заголовок 3 Знак"/>
    <w:qFormat/>
    <w:rsid w:val="005f3f9e"/>
    <w:rPr>
      <w:b/>
      <w:sz w:val="28"/>
    </w:rPr>
  </w:style>
  <w:style w:type="character" w:styleId="31" w:customStyle="1">
    <w:name w:val="3. Подпункт Знак"/>
    <w:link w:val="33"/>
    <w:qFormat/>
    <w:rsid w:val="005f4a86"/>
    <w:rPr>
      <w:b/>
      <w:bCs/>
      <w:sz w:val="24"/>
      <w:szCs w:val="24"/>
    </w:rPr>
  </w:style>
  <w:style w:type="character" w:styleId="Style7" w:customStyle="1">
    <w:name w:val="Текст выноски Знак"/>
    <w:link w:val="BalloonText"/>
    <w:qFormat/>
    <w:rsid w:val="00dc2b59"/>
    <w:rPr>
      <w:rFonts w:ascii="Tahoma" w:hAnsi="Tahoma" w:cs="Tahoma"/>
      <w:sz w:val="16"/>
      <w:szCs w:val="16"/>
    </w:rPr>
  </w:style>
  <w:style w:type="character" w:styleId="1" w:customStyle="1">
    <w:name w:val="1. Статья Знак"/>
    <w:link w:val="12"/>
    <w:qFormat/>
    <w:rsid w:val="00f50d64"/>
    <w:rPr>
      <w:b w:val="false"/>
      <w:sz w:val="24"/>
      <w:szCs w:val="24"/>
    </w:rPr>
  </w:style>
  <w:style w:type="character" w:styleId="4" w:customStyle="1">
    <w:name w:val="4. Отчерк Знак"/>
    <w:link w:val="41"/>
    <w:qFormat/>
    <w:rsid w:val="00f50d64"/>
    <w:rPr>
      <w:sz w:val="24"/>
      <w:szCs w:val="24"/>
    </w:rPr>
  </w:style>
  <w:style w:type="character" w:styleId="Annotationreference">
    <w:name w:val="annotation reference"/>
    <w:qFormat/>
    <w:rsid w:val="00f50d64"/>
    <w:rPr>
      <w:sz w:val="16"/>
      <w:szCs w:val="16"/>
    </w:rPr>
  </w:style>
  <w:style w:type="character" w:styleId="Style8" w:customStyle="1">
    <w:name w:val="Текст примечания Знак"/>
    <w:link w:val="Annotationtext"/>
    <w:qFormat/>
    <w:rsid w:val="00f50d64"/>
    <w:rPr/>
  </w:style>
  <w:style w:type="character" w:styleId="Style9" w:customStyle="1">
    <w:name w:val="Тема примечания Знак"/>
    <w:link w:val="Annotationsubject"/>
    <w:qFormat/>
    <w:rsid w:val="00f50d64"/>
    <w:rPr>
      <w:b/>
      <w:bCs/>
    </w:rPr>
  </w:style>
  <w:style w:type="character" w:styleId="Style10" w:customStyle="1">
    <w:name w:val="Нижний колонтитул Знак"/>
    <w:uiPriority w:val="99"/>
    <w:qFormat/>
    <w:rsid w:val="0043217c"/>
    <w:rPr>
      <w:sz w:val="28"/>
      <w:szCs w:val="28"/>
    </w:rPr>
  </w:style>
  <w:style w:type="character" w:styleId="32" w:customStyle="1">
    <w:name w:val="Основной текст 3 Знак"/>
    <w:link w:val="BodyText3"/>
    <w:qFormat/>
    <w:rsid w:val="001d2676"/>
    <w:rPr>
      <w:color w:val="0000FF"/>
      <w:sz w:val="24"/>
      <w:szCs w:val="24"/>
      <w:lang w:eastAsia="en-US"/>
    </w:rPr>
  </w:style>
  <w:style w:type="character" w:styleId="Style11" w:customStyle="1">
    <w:name w:val="Заголовок Знак"/>
    <w:qFormat/>
    <w:rsid w:val="00ae674d"/>
    <w:rPr>
      <w:sz w:val="22"/>
      <w:szCs w:val="22"/>
      <w:shd w:fill="FFFFFF" w:val="clear"/>
    </w:rPr>
  </w:style>
  <w:style w:type="character" w:styleId="11" w:customStyle="1">
    <w:name w:val="Заголовок 1 Знак"/>
    <w:qFormat/>
    <w:rsid w:val="00ae674d"/>
    <w:rPr>
      <w:rFonts w:ascii="Cambria" w:hAnsi="Cambria" w:eastAsia="Times New Roman" w:cs="Times New Roman"/>
      <w:b/>
      <w:bCs/>
      <w:sz w:val="32"/>
      <w:szCs w:val="32"/>
    </w:rPr>
  </w:style>
  <w:style w:type="character" w:styleId="2" w:customStyle="1">
    <w:name w:val="Заголовок 2 Знак"/>
    <w:semiHidden/>
    <w:qFormat/>
    <w:rsid w:val="00ae674d"/>
    <w:rPr>
      <w:rFonts w:ascii="Cambria" w:hAnsi="Cambria" w:eastAsia="Times New Roman" w:cs="Times New Roman"/>
      <w:b/>
      <w:bCs/>
      <w:i/>
      <w:iCs/>
      <w:sz w:val="28"/>
      <w:szCs w:val="28"/>
    </w:rPr>
  </w:style>
  <w:style w:type="character" w:styleId="Style12" w:customStyle="1">
    <w:name w:val="Основной текст с отступом Знак"/>
    <w:qFormat/>
    <w:rsid w:val="00ae674d"/>
    <w:rPr>
      <w:sz w:val="28"/>
      <w:szCs w:val="28"/>
    </w:rPr>
  </w:style>
  <w:style w:type="character" w:styleId="FontStyle16" w:customStyle="1">
    <w:name w:val="Font Style16"/>
    <w:qFormat/>
    <w:rsid w:val="00204c48"/>
    <w:rPr>
      <w:rFonts w:ascii="Times New Roman" w:hAnsi="Times New Roman" w:cs="Times New Roman"/>
      <w:sz w:val="24"/>
      <w:szCs w:val="24"/>
    </w:rPr>
  </w:style>
  <w:style w:type="character" w:styleId="Style13" w:customStyle="1">
    <w:name w:val="Текст сноски Знак"/>
    <w:uiPriority w:val="99"/>
    <w:qFormat/>
    <w:rsid w:val="00f43f0d"/>
    <w:rPr/>
  </w:style>
  <w:style w:type="character" w:styleId="Hyperlink">
    <w:name w:val="Hyperlink"/>
    <w:unhideWhenUsed/>
    <w:rsid w:val="00ee68c6"/>
    <w:rPr>
      <w:color w:val="0000FF"/>
      <w:u w:val="single"/>
    </w:rPr>
  </w:style>
  <w:style w:type="character" w:styleId="Style14" w:customStyle="1">
    <w:name w:val="Текст концевой сноски Знак"/>
    <w:uiPriority w:val="99"/>
    <w:semiHidden/>
    <w:qFormat/>
    <w:rsid w:val="008c02d8"/>
    <w:rPr/>
  </w:style>
  <w:style w:type="character" w:styleId="Style15">
    <w:name w:val="Символ концевой сноски"/>
    <w:qFormat/>
    <w:rPr>
      <w:vertAlign w:val="superscript"/>
    </w:rPr>
  </w:style>
  <w:style w:type="character" w:styleId="EndnoteReference">
    <w:name w:val="Endnote Reference"/>
    <w:rPr>
      <w:vertAlign w:val="superscript"/>
    </w:rPr>
  </w:style>
  <w:style w:type="character" w:styleId="EndnoteCharacters">
    <w:name w:val="Endnote Characters"/>
    <w:uiPriority w:val="99"/>
    <w:semiHidden/>
    <w:unhideWhenUsed/>
    <w:qFormat/>
    <w:rsid w:val="008c02d8"/>
    <w:rPr>
      <w:vertAlign w:val="superscript"/>
    </w:rPr>
  </w:style>
  <w:style w:type="character" w:styleId="Style16" w:customStyle="1">
    <w:name w:val="Абзац списка Знак"/>
    <w:link w:val="ListParagraph"/>
    <w:uiPriority w:val="34"/>
    <w:qFormat/>
    <w:locked/>
    <w:rsid w:val="000c0ae8"/>
    <w:rPr>
      <w:sz w:val="24"/>
      <w:szCs w:val="24"/>
    </w:rPr>
  </w:style>
  <w:style w:type="character" w:styleId="Style17">
    <w:name w:val="Символы концевой сноски"/>
    <w:qFormat/>
    <w:rPr/>
  </w:style>
  <w:style w:type="character" w:styleId="WW8Num3z0">
    <w:name w:val="WW8Num3z0"/>
    <w:qFormat/>
    <w:rPr>
      <w:b/>
      <w:bCs/>
    </w:rPr>
  </w:style>
  <w:style w:type="character" w:styleId="WW8Num3z1">
    <w:name w:val="WW8Num3z1"/>
    <w:qFormat/>
    <w:rPr>
      <w:b w:val="false"/>
      <w:bCs/>
      <w:i w:val="false"/>
      <w:sz w:val="24"/>
      <w:szCs w:val="24"/>
      <w:shd w:fill="C0C0C0" w:val="clear"/>
      <w:lang w:eastAsia="en-US"/>
    </w:rPr>
  </w:style>
  <w:style w:type="character" w:styleId="WW8Num3z2">
    <w:name w:val="WW8Num3z2"/>
    <w:qFormat/>
    <w:rPr>
      <w:bCs/>
    </w:rPr>
  </w:style>
  <w:style w:type="character" w:styleId="EndnoteReference1">
    <w:name w:val="Endnote Reference1"/>
    <w:qFormat/>
    <w:rPr>
      <w:vertAlign w:val="superscript"/>
    </w:rPr>
  </w:style>
  <w:style w:type="character" w:styleId="FootnoteReference1">
    <w:name w:val="Footnote Reference1"/>
    <w:qFormat/>
    <w:rPr>
      <w:vertAlign w:val="superscript"/>
    </w:rPr>
  </w:style>
  <w:style w:type="character" w:styleId="EndnoteReference3">
    <w:name w:val="Endnote Reference3"/>
    <w:qFormat/>
    <w:rPr>
      <w:vertAlign w:val="superscript"/>
    </w:rPr>
  </w:style>
  <w:style w:type="character" w:styleId="FootnoteReference3">
    <w:name w:val="Footnote Reference3"/>
    <w:qFormat/>
    <w:rPr>
      <w:vertAlign w:val="superscript"/>
    </w:rPr>
  </w:style>
  <w:style w:type="character" w:styleId="EndnoteReference2">
    <w:name w:val="Endnote Reference2"/>
    <w:qFormat/>
    <w:rPr>
      <w:vertAlign w:val="superscript"/>
    </w:rPr>
  </w:style>
  <w:style w:type="character" w:styleId="FootnoteReference2">
    <w:name w:val="Footnote Reference2"/>
    <w:qFormat/>
    <w:rPr>
      <w:vertAlign w:val="superscript"/>
    </w:rPr>
  </w:style>
  <w:style w:type="character" w:styleId="EndnoteReference11">
    <w:name w:val="Endnote Reference11"/>
    <w:qFormat/>
    <w:rPr>
      <w:vertAlign w:val="superscript"/>
    </w:rPr>
  </w:style>
  <w:style w:type="character" w:styleId="WW-">
    <w:name w:val="WW-Символы концевой сноски"/>
    <w:qFormat/>
    <w:rPr/>
  </w:style>
  <w:style w:type="character" w:styleId="FootnoteReference11">
    <w:name w:val="Footnote Reference11"/>
    <w:qFormat/>
    <w:rPr>
      <w:vertAlign w:val="superscript"/>
    </w:rPr>
  </w:style>
  <w:style w:type="character" w:styleId="Style18">
    <w:name w:val="Название Знак"/>
    <w:qFormat/>
    <w:rPr>
      <w:b/>
      <w:bCs/>
      <w:sz w:val="24"/>
      <w:szCs w:val="24"/>
    </w:rPr>
  </w:style>
  <w:style w:type="character" w:styleId="Style19">
    <w:name w:val="Верхний колонтитул Знак"/>
    <w:qFormat/>
    <w:rPr>
      <w:sz w:val="24"/>
      <w:szCs w:val="24"/>
    </w:rPr>
  </w:style>
  <w:style w:type="character" w:styleId="Style20">
    <w:name w:val="Основной текст Знак"/>
    <w:qFormat/>
    <w:rPr>
      <w:sz w:val="24"/>
      <w:szCs w:val="24"/>
    </w:rPr>
  </w:style>
  <w:style w:type="character" w:styleId="Style21">
    <w:name w:val="Знак примечания"/>
    <w:qFormat/>
    <w:rPr>
      <w:sz w:val="16"/>
      <w:szCs w:val="16"/>
    </w:rPr>
  </w:style>
  <w:style w:type="character" w:styleId="PageNumber">
    <w:name w:val="Page Number"/>
    <w:basedOn w:val="Style22"/>
    <w:rPr/>
  </w:style>
  <w:style w:type="character" w:styleId="Style22">
    <w:name w:val="Основной шрифт абзаца"/>
    <w:qFormat/>
    <w:rPr/>
  </w:style>
  <w:style w:type="character" w:styleId="WW8Num29z0">
    <w:name w:val="WW8Num29z0"/>
    <w:qFormat/>
    <w:rPr/>
  </w:style>
  <w:style w:type="character" w:styleId="WW8Num28z2">
    <w:name w:val="WW8Num28z2"/>
    <w:qFormat/>
    <w:rPr>
      <w:rFonts w:ascii="Wingdings" w:hAnsi="Wingdings" w:cs="Wingdings"/>
    </w:rPr>
  </w:style>
  <w:style w:type="character" w:styleId="WW8Num28z1">
    <w:name w:val="WW8Num28z1"/>
    <w:qFormat/>
    <w:rPr>
      <w:rFonts w:ascii="Courier New" w:hAnsi="Courier New" w:cs="Courier New"/>
    </w:rPr>
  </w:style>
  <w:style w:type="character" w:styleId="WW8Num28z0">
    <w:name w:val="WW8Num28z0"/>
    <w:qFormat/>
    <w:rPr>
      <w:rFonts w:ascii="Symbol" w:hAnsi="Symbol" w:cs="Symbol"/>
    </w:rPr>
  </w:style>
  <w:style w:type="character" w:styleId="WW8Num27z0">
    <w:name w:val="WW8Num27z0"/>
    <w:qFormat/>
    <w:rPr/>
  </w:style>
  <w:style w:type="character" w:styleId="WW8Num26z0">
    <w:name w:val="WW8Num26z0"/>
    <w:qFormat/>
    <w:rPr/>
  </w:style>
  <w:style w:type="character" w:styleId="WW8Num25z2">
    <w:name w:val="WW8Num25z2"/>
    <w:qFormat/>
    <w:rPr>
      <w:rFonts w:ascii="Wingdings" w:hAnsi="Wingdings" w:cs="Wingdings"/>
    </w:rPr>
  </w:style>
  <w:style w:type="character" w:styleId="WW8Num25z1">
    <w:name w:val="WW8Num25z1"/>
    <w:qFormat/>
    <w:rPr>
      <w:rFonts w:ascii="Courier New" w:hAnsi="Courier New" w:cs="Courier New"/>
    </w:rPr>
  </w:style>
  <w:style w:type="character" w:styleId="WW8Num25z0">
    <w:name w:val="WW8Num25z0"/>
    <w:qFormat/>
    <w:rPr>
      <w:rFonts w:ascii="Symbol" w:hAnsi="Symbol" w:cs="Symbol"/>
    </w:rPr>
  </w:style>
  <w:style w:type="character" w:styleId="WW8Num24z8">
    <w:name w:val="WW8Num24z8"/>
    <w:qFormat/>
    <w:rPr/>
  </w:style>
  <w:style w:type="character" w:styleId="WW8Num24z7">
    <w:name w:val="WW8Num24z7"/>
    <w:qFormat/>
    <w:rPr/>
  </w:style>
  <w:style w:type="character" w:styleId="WW8Num24z6">
    <w:name w:val="WW8Num24z6"/>
    <w:qFormat/>
    <w:rPr/>
  </w:style>
  <w:style w:type="character" w:styleId="WW8Num24z5">
    <w:name w:val="WW8Num24z5"/>
    <w:qFormat/>
    <w:rPr/>
  </w:style>
  <w:style w:type="character" w:styleId="WW8Num24z4">
    <w:name w:val="WW8Num24z4"/>
    <w:qFormat/>
    <w:rPr/>
  </w:style>
  <w:style w:type="character" w:styleId="WW8Num24z3">
    <w:name w:val="WW8Num24z3"/>
    <w:qFormat/>
    <w:rPr/>
  </w:style>
  <w:style w:type="character" w:styleId="WW8Num24z2">
    <w:name w:val="WW8Num24z2"/>
    <w:qFormat/>
    <w:rPr>
      <w:b w:val="false"/>
      <w:sz w:val="24"/>
      <w:szCs w:val="24"/>
    </w:rPr>
  </w:style>
  <w:style w:type="character" w:styleId="WW8Num24z1">
    <w:name w:val="WW8Num24z1"/>
    <w:qFormat/>
    <w:rPr>
      <w:b w:val="false"/>
      <w:u w:val="none"/>
    </w:rPr>
  </w:style>
  <w:style w:type="character" w:styleId="WW8Num24z0">
    <w:name w:val="WW8Num24z0"/>
    <w:qFormat/>
    <w:rPr>
      <w:b/>
    </w:rPr>
  </w:style>
  <w:style w:type="character" w:styleId="WW8Num23z2">
    <w:name w:val="WW8Num23z2"/>
    <w:qFormat/>
    <w:rPr>
      <w:rFonts w:ascii="Wingdings" w:hAnsi="Wingdings" w:cs="Wingdings"/>
    </w:rPr>
  </w:style>
  <w:style w:type="character" w:styleId="WW8Num23z1">
    <w:name w:val="WW8Num23z1"/>
    <w:qFormat/>
    <w:rPr>
      <w:rFonts w:ascii="Courier New" w:hAnsi="Courier New" w:cs="Courier New"/>
    </w:rPr>
  </w:style>
  <w:style w:type="character" w:styleId="WW8Num23z0">
    <w:name w:val="WW8Num23z0"/>
    <w:qFormat/>
    <w:rPr>
      <w:rFonts w:ascii="Symbol" w:hAnsi="Symbol" w:cs="Symbol"/>
    </w:rPr>
  </w:style>
  <w:style w:type="character" w:styleId="WW8Num22z8">
    <w:name w:val="WW8Num22z8"/>
    <w:qFormat/>
    <w:rPr/>
  </w:style>
  <w:style w:type="character" w:styleId="WW8Num22z7">
    <w:name w:val="WW8Num22z7"/>
    <w:qFormat/>
    <w:rPr/>
  </w:style>
  <w:style w:type="character" w:styleId="WW8Num22z6">
    <w:name w:val="WW8Num22z6"/>
    <w:qFormat/>
    <w:rPr/>
  </w:style>
  <w:style w:type="character" w:styleId="WW8Num22z5">
    <w:name w:val="WW8Num22z5"/>
    <w:qFormat/>
    <w:rPr/>
  </w:style>
  <w:style w:type="character" w:styleId="WW8Num22z4">
    <w:name w:val="WW8Num22z4"/>
    <w:qFormat/>
    <w:rPr/>
  </w:style>
  <w:style w:type="character" w:styleId="WW8Num22z3">
    <w:name w:val="WW8Num22z3"/>
    <w:qFormat/>
    <w:rPr/>
  </w:style>
  <w:style w:type="character" w:styleId="WW8Num22z2">
    <w:name w:val="WW8Num22z2"/>
    <w:qFormat/>
    <w:rPr/>
  </w:style>
  <w:style w:type="character" w:styleId="WW8Num22z1">
    <w:name w:val="WW8Num22z1"/>
    <w:qFormat/>
    <w:rPr/>
  </w:style>
  <w:style w:type="character" w:styleId="WW8Num22z0">
    <w:name w:val="WW8Num22z0"/>
    <w:qFormat/>
    <w:rPr>
      <w:sz w:val="24"/>
      <w:szCs w:val="24"/>
    </w:rPr>
  </w:style>
  <w:style w:type="character" w:styleId="WW8Num21z2">
    <w:name w:val="WW8Num21z2"/>
    <w:qFormat/>
    <w:rPr>
      <w:rFonts w:ascii="Wingdings" w:hAnsi="Wingdings" w:cs="Wingdings"/>
    </w:rPr>
  </w:style>
  <w:style w:type="character" w:styleId="WW8Num21z1">
    <w:name w:val="WW8Num21z1"/>
    <w:qFormat/>
    <w:rPr>
      <w:rFonts w:ascii="Courier New" w:hAnsi="Courier New" w:cs="Courier New"/>
    </w:rPr>
  </w:style>
  <w:style w:type="character" w:styleId="WW8Num21z0">
    <w:name w:val="WW8Num21z0"/>
    <w:qFormat/>
    <w:rPr>
      <w:rFonts w:ascii="Symbol" w:hAnsi="Symbol" w:cs="Symbol"/>
    </w:rPr>
  </w:style>
  <w:style w:type="character" w:styleId="WW8Num20z8">
    <w:name w:val="WW8Num20z8"/>
    <w:qFormat/>
    <w:rPr/>
  </w:style>
  <w:style w:type="character" w:styleId="WW8Num20z7">
    <w:name w:val="WW8Num20z7"/>
    <w:qFormat/>
    <w:rPr/>
  </w:style>
  <w:style w:type="character" w:styleId="WW8Num20z6">
    <w:name w:val="WW8Num20z6"/>
    <w:qFormat/>
    <w:rPr/>
  </w:style>
  <w:style w:type="character" w:styleId="WW8Num20z5">
    <w:name w:val="WW8Num20z5"/>
    <w:qFormat/>
    <w:rPr/>
  </w:style>
  <w:style w:type="character" w:styleId="WW8Num20z4">
    <w:name w:val="WW8Num20z4"/>
    <w:qFormat/>
    <w:rPr/>
  </w:style>
  <w:style w:type="character" w:styleId="WW8Num20z3">
    <w:name w:val="WW8Num20z3"/>
    <w:qFormat/>
    <w:rPr/>
  </w:style>
  <w:style w:type="character" w:styleId="WW8Num20z2">
    <w:name w:val="WW8Num20z2"/>
    <w:qFormat/>
    <w:rPr>
      <w:b w:val="false"/>
      <w:sz w:val="24"/>
      <w:szCs w:val="24"/>
    </w:rPr>
  </w:style>
  <w:style w:type="character" w:styleId="WW8Num20z1">
    <w:name w:val="WW8Num20z1"/>
    <w:qFormat/>
    <w:rPr>
      <w:rFonts w:ascii="Symbol" w:hAnsi="Symbol" w:cs="Symbol"/>
      <w:b w:val="false"/>
      <w:u w:val="none"/>
    </w:rPr>
  </w:style>
  <w:style w:type="character" w:styleId="WW8Num20z0">
    <w:name w:val="WW8Num20z0"/>
    <w:qFormat/>
    <w:rPr>
      <w:b/>
    </w:rPr>
  </w:style>
  <w:style w:type="character" w:styleId="WW8Num19z2">
    <w:name w:val="WW8Num19z2"/>
    <w:qFormat/>
    <w:rPr>
      <w:rFonts w:ascii="Wingdings" w:hAnsi="Wingdings" w:cs="Wingdings"/>
    </w:rPr>
  </w:style>
  <w:style w:type="character" w:styleId="WW8Num19z1">
    <w:name w:val="WW8Num19z1"/>
    <w:qFormat/>
    <w:rPr>
      <w:rFonts w:ascii="Courier New" w:hAnsi="Courier New" w:cs="Courier New"/>
    </w:rPr>
  </w:style>
  <w:style w:type="character" w:styleId="WW8Num19z0">
    <w:name w:val="WW8Num19z0"/>
    <w:qFormat/>
    <w:rPr>
      <w:rFonts w:ascii="Symbol" w:hAnsi="Symbol" w:cs="Symbol"/>
    </w:rPr>
  </w:style>
  <w:style w:type="character" w:styleId="WW8Num18z0">
    <w:name w:val="WW8Num18z0"/>
    <w:qFormat/>
    <w:rPr/>
  </w:style>
  <w:style w:type="character" w:styleId="WW8Num17z8">
    <w:name w:val="WW8Num17z8"/>
    <w:qFormat/>
    <w:rPr/>
  </w:style>
  <w:style w:type="character" w:styleId="WW8Num17z7">
    <w:name w:val="WW8Num17z7"/>
    <w:qFormat/>
    <w:rPr/>
  </w:style>
  <w:style w:type="character" w:styleId="WW8Num17z6">
    <w:name w:val="WW8Num17z6"/>
    <w:qFormat/>
    <w:rPr/>
  </w:style>
  <w:style w:type="character" w:styleId="WW8Num17z5">
    <w:name w:val="WW8Num17z5"/>
    <w:qFormat/>
    <w:rPr/>
  </w:style>
  <w:style w:type="character" w:styleId="WW8Num17z4">
    <w:name w:val="WW8Num17z4"/>
    <w:qFormat/>
    <w:rPr/>
  </w:style>
  <w:style w:type="character" w:styleId="WW8Num17z3">
    <w:name w:val="WW8Num17z3"/>
    <w:qFormat/>
    <w:rPr/>
  </w:style>
  <w:style w:type="character" w:styleId="WW8Num17z2">
    <w:name w:val="WW8Num17z2"/>
    <w:qFormat/>
    <w:rPr/>
  </w:style>
  <w:style w:type="character" w:styleId="WW8Num17z1">
    <w:name w:val="WW8Num17z1"/>
    <w:qFormat/>
    <w:rPr/>
  </w:style>
  <w:style w:type="character" w:styleId="WW8Num17z0">
    <w:name w:val="WW8Num17z0"/>
    <w:qFormat/>
    <w:rPr>
      <w:b/>
    </w:rPr>
  </w:style>
  <w:style w:type="character" w:styleId="WW8Num16z3">
    <w:name w:val="WW8Num16z3"/>
    <w:qFormat/>
    <w:rPr>
      <w:rFonts w:ascii="Symbol" w:hAnsi="Symbol" w:cs="Symbol"/>
    </w:rPr>
  </w:style>
  <w:style w:type="character" w:styleId="WW8Num16z2">
    <w:name w:val="WW8Num16z2"/>
    <w:qFormat/>
    <w:rPr>
      <w:rFonts w:ascii="Wingdings" w:hAnsi="Wingdings" w:cs="Wingdings"/>
    </w:rPr>
  </w:style>
  <w:style w:type="character" w:styleId="WW8Num16z1">
    <w:name w:val="WW8Num16z1"/>
    <w:qFormat/>
    <w:rPr>
      <w:rFonts w:ascii="Courier New" w:hAnsi="Courier New" w:cs="Courier New"/>
    </w:rPr>
  </w:style>
  <w:style w:type="character" w:styleId="WW8Num16z0">
    <w:name w:val="WW8Num16z0"/>
    <w:qFormat/>
    <w:rPr>
      <w:rFonts w:ascii="Times New Roman" w:hAnsi="Times New Roman" w:cs="Times New Roman"/>
    </w:rPr>
  </w:style>
  <w:style w:type="character" w:styleId="WW8Num15z2">
    <w:name w:val="WW8Num15z2"/>
    <w:qFormat/>
    <w:rPr>
      <w:rFonts w:ascii="Wingdings" w:hAnsi="Wingdings" w:cs="Wingdings"/>
    </w:rPr>
  </w:style>
  <w:style w:type="character" w:styleId="WW8Num15z1">
    <w:name w:val="WW8Num15z1"/>
    <w:qFormat/>
    <w:rPr>
      <w:rFonts w:ascii="Courier New" w:hAnsi="Courier New" w:cs="Courier New"/>
    </w:rPr>
  </w:style>
  <w:style w:type="character" w:styleId="WW8Num15z0">
    <w:name w:val="WW8Num15z0"/>
    <w:qFormat/>
    <w:rPr>
      <w:rFonts w:ascii="Symbol" w:hAnsi="Symbol" w:cs="Symbol"/>
    </w:rPr>
  </w:style>
  <w:style w:type="character" w:styleId="WW8Num14z8">
    <w:name w:val="WW8Num14z8"/>
    <w:qFormat/>
    <w:rPr/>
  </w:style>
  <w:style w:type="character" w:styleId="WW8Num14z7">
    <w:name w:val="WW8Num14z7"/>
    <w:qFormat/>
    <w:rPr/>
  </w:style>
  <w:style w:type="character" w:styleId="WW8Num14z6">
    <w:name w:val="WW8Num14z6"/>
    <w:qFormat/>
    <w:rPr/>
  </w:style>
  <w:style w:type="character" w:styleId="WW8Num14z5">
    <w:name w:val="WW8Num14z5"/>
    <w:qFormat/>
    <w:rPr/>
  </w:style>
  <w:style w:type="character" w:styleId="WW8Num14z4">
    <w:name w:val="WW8Num14z4"/>
    <w:qFormat/>
    <w:rPr/>
  </w:style>
  <w:style w:type="character" w:styleId="WW8Num14z3">
    <w:name w:val="WW8Num14z3"/>
    <w:qFormat/>
    <w:rPr/>
  </w:style>
  <w:style w:type="character" w:styleId="WW8Num14z2">
    <w:name w:val="WW8Num14z2"/>
    <w:qFormat/>
    <w:rPr/>
  </w:style>
  <w:style w:type="character" w:styleId="WW8Num14z1">
    <w:name w:val="WW8Num14z1"/>
    <w:qFormat/>
    <w:rPr/>
  </w:style>
  <w:style w:type="character" w:styleId="WW8Num14z0">
    <w:name w:val="WW8Num14z0"/>
    <w:qFormat/>
    <w:rPr>
      <w:sz w:val="24"/>
      <w:szCs w:val="24"/>
    </w:rPr>
  </w:style>
  <w:style w:type="character" w:styleId="WW8Num13z0">
    <w:name w:val="WW8Num13z0"/>
    <w:qFormat/>
    <w:rPr/>
  </w:style>
  <w:style w:type="character" w:styleId="WW8Num12z2">
    <w:name w:val="WW8Num12z2"/>
    <w:qFormat/>
    <w:rPr>
      <w:rFonts w:ascii="Wingdings" w:hAnsi="Wingdings" w:cs="Wingdings"/>
    </w:rPr>
  </w:style>
  <w:style w:type="character" w:styleId="WW8Num12z1">
    <w:name w:val="WW8Num12z1"/>
    <w:qFormat/>
    <w:rPr>
      <w:rFonts w:ascii="Courier New" w:hAnsi="Courier New" w:cs="Courier New"/>
    </w:rPr>
  </w:style>
  <w:style w:type="character" w:styleId="WW8Num12z0">
    <w:name w:val="WW8Num12z0"/>
    <w:qFormat/>
    <w:rPr>
      <w:rFonts w:ascii="Symbol" w:hAnsi="Symbol" w:cs="Symbol"/>
    </w:rPr>
  </w:style>
  <w:style w:type="character" w:styleId="WW8Num9z2">
    <w:name w:val="WW8Num9z2"/>
    <w:qFormat/>
    <w:rPr>
      <w:rFonts w:ascii="Wingdings" w:hAnsi="Wingdings" w:cs="Wingdings"/>
    </w:rPr>
  </w:style>
  <w:style w:type="character" w:styleId="WW8Num9z1">
    <w:name w:val="WW8Num9z1"/>
    <w:qFormat/>
    <w:rPr>
      <w:rFonts w:ascii="Courier New" w:hAnsi="Courier New" w:cs="Courier New"/>
    </w:rPr>
  </w:style>
  <w:style w:type="character" w:styleId="WW8Num7z2">
    <w:name w:val="WW8Num7z2"/>
    <w:qFormat/>
    <w:rPr>
      <w:rFonts w:ascii="Wingdings" w:hAnsi="Wingdings" w:cs="Wingdings"/>
    </w:rPr>
  </w:style>
  <w:style w:type="character" w:styleId="WW8Num7z1">
    <w:name w:val="WW8Num7z1"/>
    <w:qFormat/>
    <w:rPr>
      <w:rFonts w:ascii="Courier New" w:hAnsi="Courier New" w:cs="Courier New"/>
    </w:rPr>
  </w:style>
  <w:style w:type="character" w:styleId="WW8Num2z2">
    <w:name w:val="WW8Num2z2"/>
    <w:qFormat/>
    <w:rPr>
      <w:rFonts w:ascii="Wingdings" w:hAnsi="Wingdings" w:cs="Wingdings"/>
    </w:rPr>
  </w:style>
  <w:style w:type="character" w:styleId="WW8Num2z1">
    <w:name w:val="WW8Num2z1"/>
    <w:qFormat/>
    <w:rPr>
      <w:rFonts w:ascii="Courier New" w:hAnsi="Courier New" w:cs="Courier New"/>
    </w:rPr>
  </w:style>
  <w:style w:type="character" w:styleId="WW8Num11z8">
    <w:name w:val="WW8Num11z8"/>
    <w:qFormat/>
    <w:rPr/>
  </w:style>
  <w:style w:type="character" w:styleId="WW8Num11z7">
    <w:name w:val="WW8Num11z7"/>
    <w:qFormat/>
    <w:rPr/>
  </w:style>
  <w:style w:type="character" w:styleId="WW8Num11z6">
    <w:name w:val="WW8Num11z6"/>
    <w:qFormat/>
    <w:rPr/>
  </w:style>
  <w:style w:type="character" w:styleId="WW8Num11z5">
    <w:name w:val="WW8Num11z5"/>
    <w:qFormat/>
    <w:rPr/>
  </w:style>
  <w:style w:type="character" w:styleId="WW8Num11z4">
    <w:name w:val="WW8Num11z4"/>
    <w:qFormat/>
    <w:rPr/>
  </w:style>
  <w:style w:type="character" w:styleId="WW8Num11z3">
    <w:name w:val="WW8Num11z3"/>
    <w:qFormat/>
    <w:rPr/>
  </w:style>
  <w:style w:type="character" w:styleId="WW8Num11z2">
    <w:name w:val="WW8Num11z2"/>
    <w:qFormat/>
    <w:rPr/>
  </w:style>
  <w:style w:type="character" w:styleId="WW8Num11z1">
    <w:name w:val="WW8Num11z1"/>
    <w:qFormat/>
    <w:rPr/>
  </w:style>
  <w:style w:type="character" w:styleId="WW8Num11z0">
    <w:name w:val="WW8Num11z0"/>
    <w:qFormat/>
    <w:rPr>
      <w:sz w:val="24"/>
      <w:szCs w:val="24"/>
    </w:rPr>
  </w:style>
  <w:style w:type="character" w:styleId="WW8Num10z8">
    <w:name w:val="WW8Num10z8"/>
    <w:qFormat/>
    <w:rPr/>
  </w:style>
  <w:style w:type="character" w:styleId="WW8Num10z7">
    <w:name w:val="WW8Num10z7"/>
    <w:qFormat/>
    <w:rPr/>
  </w:style>
  <w:style w:type="character" w:styleId="WW8Num10z6">
    <w:name w:val="WW8Num10z6"/>
    <w:qFormat/>
    <w:rPr/>
  </w:style>
  <w:style w:type="character" w:styleId="WW8Num10z5">
    <w:name w:val="WW8Num10z5"/>
    <w:qFormat/>
    <w:rPr/>
  </w:style>
  <w:style w:type="character" w:styleId="WW8Num10z4">
    <w:name w:val="WW8Num10z4"/>
    <w:qFormat/>
    <w:rPr/>
  </w:style>
  <w:style w:type="character" w:styleId="WW8Num10z3">
    <w:name w:val="WW8Num10z3"/>
    <w:qFormat/>
    <w:rPr/>
  </w:style>
  <w:style w:type="character" w:styleId="WW8Num10z2">
    <w:name w:val="WW8Num10z2"/>
    <w:qFormat/>
    <w:rPr/>
  </w:style>
  <w:style w:type="character" w:styleId="WW8Num10z1">
    <w:name w:val="WW8Num10z1"/>
    <w:qFormat/>
    <w:rPr/>
  </w:style>
  <w:style w:type="character" w:styleId="WW8Num1z8">
    <w:name w:val="WW8Num1z8"/>
    <w:qFormat/>
    <w:rPr/>
  </w:style>
  <w:style w:type="character" w:styleId="WW8Num1z7">
    <w:name w:val="WW8Num1z7"/>
    <w:qFormat/>
    <w:rPr/>
  </w:style>
  <w:style w:type="character" w:styleId="WW8Num1z6">
    <w:name w:val="WW8Num1z6"/>
    <w:qFormat/>
    <w:rPr/>
  </w:style>
  <w:style w:type="character" w:styleId="WW8Num1z5">
    <w:name w:val="WW8Num1z5"/>
    <w:qFormat/>
    <w:rPr/>
  </w:style>
  <w:style w:type="character" w:styleId="WW8Num1z4">
    <w:name w:val="WW8Num1z4"/>
    <w:qFormat/>
    <w:rPr/>
  </w:style>
  <w:style w:type="character" w:styleId="WW8Num1z3">
    <w:name w:val="WW8Num1z3"/>
    <w:qFormat/>
    <w:rPr/>
  </w:style>
  <w:style w:type="character" w:styleId="WW8Num1z2">
    <w:name w:val="WW8Num1z2"/>
    <w:qFormat/>
    <w:rPr/>
  </w:style>
  <w:style w:type="character" w:styleId="WW8Num1z1">
    <w:name w:val="WW8Num1z1"/>
    <w:qFormat/>
    <w:rPr/>
  </w:style>
  <w:style w:type="character" w:styleId="WW8Num1z0">
    <w:name w:val="WW8Num1z0"/>
    <w:qFormat/>
    <w:rPr/>
  </w:style>
  <w:style w:type="character" w:styleId="WW8Num10z0">
    <w:name w:val="WW8Num10z0"/>
    <w:qFormat/>
    <w:rPr>
      <w:sz w:val="24"/>
      <w:szCs w:val="24"/>
      <w:shd w:fill="C0C0C0" w:val="clear"/>
    </w:rPr>
  </w:style>
  <w:style w:type="character" w:styleId="WW8Num9z0">
    <w:name w:val="WW8Num9z0"/>
    <w:qFormat/>
    <w:rPr>
      <w:rFonts w:ascii="Symbol" w:hAnsi="Symbol" w:cs="Symbol"/>
    </w:rPr>
  </w:style>
  <w:style w:type="character" w:styleId="WW8Num8z0">
    <w:name w:val="WW8Num8z0"/>
    <w:qFormat/>
    <w:rPr>
      <w:rFonts w:ascii="Symbol" w:hAnsi="Symbol" w:cs="Symbol"/>
    </w:rPr>
  </w:style>
  <w:style w:type="character" w:styleId="WW8Num7z0">
    <w:name w:val="WW8Num7z0"/>
    <w:qFormat/>
    <w:rPr>
      <w:rFonts w:ascii="Symbol" w:hAnsi="Symbol" w:cs="Symbol"/>
    </w:rPr>
  </w:style>
  <w:style w:type="character" w:styleId="WW8Num6z0">
    <w:name w:val="WW8Num6z0"/>
    <w:qFormat/>
    <w:rPr>
      <w:rFonts w:ascii="Symbol" w:hAnsi="Symbol" w:cs="Symbol"/>
    </w:rPr>
  </w:style>
  <w:style w:type="character" w:styleId="WW8Num5z2">
    <w:name w:val="WW8Num5z2"/>
    <w:qFormat/>
    <w:rPr/>
  </w:style>
  <w:style w:type="character" w:styleId="WW8Num5z1">
    <w:name w:val="WW8Num5z1"/>
    <w:qFormat/>
    <w:rPr>
      <w:b w:val="false"/>
      <w:bCs/>
      <w:i w:val="false"/>
    </w:rPr>
  </w:style>
  <w:style w:type="character" w:styleId="WW8Num5z0">
    <w:name w:val="WW8Num5z0"/>
    <w:qFormat/>
    <w:rPr>
      <w:b/>
    </w:rPr>
  </w:style>
  <w:style w:type="character" w:styleId="WW8Num4z2">
    <w:name w:val="WW8Num4z2"/>
    <w:qFormat/>
    <w:rPr>
      <w:bCs/>
      <w:sz w:val="24"/>
      <w:shd w:fill="C0C0C0" w:val="clear"/>
      <w:lang w:val="en-US"/>
    </w:rPr>
  </w:style>
  <w:style w:type="character" w:styleId="WW8Num4z1">
    <w:name w:val="WW8Num4z1"/>
    <w:qFormat/>
    <w:rPr>
      <w:bCs/>
      <w:i w:val="false"/>
      <w:sz w:val="24"/>
      <w:shd w:fill="C0C0C0" w:val="clear"/>
    </w:rPr>
  </w:style>
  <w:style w:type="character" w:styleId="WW8Num4z0">
    <w:name w:val="WW8Num4z0"/>
    <w:qFormat/>
    <w:rPr>
      <w:b/>
      <w:bCs/>
    </w:rPr>
  </w:style>
  <w:style w:type="character" w:styleId="WW8Num2z0">
    <w:name w:val="WW8Num2z0"/>
    <w:qFormat/>
    <w:rPr>
      <w:rFonts w:ascii="Symbol" w:hAnsi="Symbol" w:cs="Symbol"/>
    </w:rPr>
  </w:style>
  <w:style w:type="paragraph" w:styleId="Style23">
    <w:name w:val="Заголовок"/>
    <w:basedOn w:val="Normal"/>
    <w:next w:val="BodyText"/>
    <w:qFormat/>
    <w:pPr>
      <w:keepNext w:val="true"/>
      <w:spacing w:before="240" w:after="120"/>
    </w:pPr>
    <w:rPr>
      <w:rFonts w:ascii="Liberation Sans" w:hAnsi="Liberation Sans" w:eastAsia="WenQuanYi Zen Hei Sharp" w:cs="Lohit Devanagari"/>
      <w:sz w:val="28"/>
      <w:szCs w:val="28"/>
    </w:rPr>
  </w:style>
  <w:style w:type="paragraph" w:styleId="BodyText">
    <w:name w:val="Body Text"/>
    <w:basedOn w:val="Normal"/>
    <w:rsid w:val="004b090f"/>
    <w:pPr>
      <w:spacing w:before="0" w:after="120"/>
    </w:pPr>
    <w:rPr/>
  </w:style>
  <w:style w:type="paragraph" w:styleId="List">
    <w:name w:val="List"/>
    <w:basedOn w:val="BodyText"/>
    <w:pPr/>
    <w:rPr>
      <w:rFonts w:cs="Lohit Devanagari"/>
    </w:rPr>
  </w:style>
  <w:style w:type="paragraph" w:styleId="Caption">
    <w:name w:val="Caption"/>
    <w:basedOn w:val="Normal"/>
    <w:qFormat/>
    <w:pPr>
      <w:suppressLineNumbers/>
      <w:spacing w:before="120" w:after="120"/>
    </w:pPr>
    <w:rPr>
      <w:rFonts w:cs="Lohit Devanagari"/>
      <w:i/>
      <w:iCs/>
      <w:sz w:val="24"/>
      <w:szCs w:val="24"/>
    </w:rPr>
  </w:style>
  <w:style w:type="paragraph" w:styleId="Style24">
    <w:name w:val="Указатель"/>
    <w:basedOn w:val="Normal"/>
    <w:qFormat/>
    <w:pPr>
      <w:suppressLineNumbers/>
    </w:pPr>
    <w:rPr>
      <w:rFonts w:cs="Lohit Devanagari"/>
      <w:lang w:val="zxx" w:eastAsia="zxx" w:bidi="zxx"/>
    </w:rPr>
  </w:style>
  <w:style w:type="paragraph" w:styleId="BodyText3">
    <w:name w:val="Body Text 3"/>
    <w:basedOn w:val="Normal"/>
    <w:link w:val="32"/>
    <w:qFormat/>
    <w:rsid w:val="004b090f"/>
    <w:pPr>
      <w:spacing w:lineRule="auto" w:line="240"/>
      <w:ind w:hanging="0"/>
    </w:pPr>
    <w:rPr>
      <w:color w:val="0000FF"/>
      <w:sz w:val="24"/>
      <w:szCs w:val="24"/>
      <w:lang w:val="x-none" w:eastAsia="en-US"/>
    </w:rPr>
  </w:style>
  <w:style w:type="paragraph" w:styleId="Style25">
    <w:name w:val="Колонтитул"/>
    <w:basedOn w:val="Normal"/>
    <w:qFormat/>
    <w:pPr/>
    <w:rPr/>
  </w:style>
  <w:style w:type="paragraph" w:styleId="Header">
    <w:name w:val="Header"/>
    <w:basedOn w:val="Normal"/>
    <w:rsid w:val="004b090f"/>
    <w:pPr>
      <w:tabs>
        <w:tab w:val="clear" w:pos="708"/>
        <w:tab w:val="center" w:pos="4677" w:leader="none"/>
        <w:tab w:val="right" w:pos="9355" w:leader="none"/>
      </w:tabs>
    </w:pPr>
    <w:rPr/>
  </w:style>
  <w:style w:type="paragraph" w:styleId="Style110" w:customStyle="1">
    <w:name w:val="Style1"/>
    <w:basedOn w:val="Normal"/>
    <w:autoRedefine/>
    <w:qFormat/>
    <w:rsid w:val="004b090f"/>
    <w:pPr>
      <w:spacing w:lineRule="auto" w:line="240" w:before="240" w:after="0"/>
      <w:ind w:hanging="0"/>
      <w:jc w:val="left"/>
    </w:pPr>
    <w:rPr>
      <w:b/>
      <w:sz w:val="22"/>
      <w:szCs w:val="20"/>
    </w:rPr>
  </w:style>
  <w:style w:type="paragraph" w:styleId="BodyText2">
    <w:name w:val="Body Text 2"/>
    <w:basedOn w:val="Normal"/>
    <w:qFormat/>
    <w:rsid w:val="004b090f"/>
    <w:pPr>
      <w:widowControl w:val="false"/>
      <w:spacing w:lineRule="auto" w:line="480" w:before="0" w:after="120"/>
      <w:ind w:hanging="0"/>
      <w:jc w:val="left"/>
    </w:pPr>
    <w:rPr>
      <w:sz w:val="20"/>
      <w:szCs w:val="20"/>
    </w:rPr>
  </w:style>
  <w:style w:type="paragraph" w:styleId="Style26" w:customStyle="1">
    <w:name w:val="Знак"/>
    <w:basedOn w:val="Normal"/>
    <w:qFormat/>
    <w:rsid w:val="000873ec"/>
    <w:pPr>
      <w:spacing w:lineRule="exact" w:line="240" w:before="0" w:after="160"/>
      <w:ind w:hanging="0"/>
      <w:jc w:val="left"/>
    </w:pPr>
    <w:rPr>
      <w:rFonts w:ascii="Verdana" w:hAnsi="Verdana" w:cs="Verdana"/>
      <w:sz w:val="20"/>
      <w:szCs w:val="20"/>
      <w:lang w:val="en-US" w:eastAsia="en-US"/>
    </w:rPr>
  </w:style>
  <w:style w:type="paragraph" w:styleId="FootnoteText">
    <w:name w:val="Footnote Text"/>
    <w:basedOn w:val="Normal"/>
    <w:link w:val="Style13"/>
    <w:uiPriority w:val="99"/>
    <w:rsid w:val="00d45657"/>
    <w:pPr>
      <w:spacing w:lineRule="auto" w:line="240"/>
      <w:ind w:hanging="0"/>
      <w:jc w:val="left"/>
    </w:pPr>
    <w:rPr>
      <w:sz w:val="20"/>
      <w:szCs w:val="20"/>
    </w:rPr>
  </w:style>
  <w:style w:type="paragraph" w:styleId="Style27" w:customStyle="1">
    <w:name w:val="Знак Знак Знак Знак Знак Знак Знак"/>
    <w:basedOn w:val="Normal"/>
    <w:qFormat/>
    <w:rsid w:val="00773634"/>
    <w:pPr>
      <w:spacing w:lineRule="exact" w:line="240" w:before="0" w:after="160"/>
      <w:ind w:hanging="0"/>
      <w:jc w:val="left"/>
    </w:pPr>
    <w:rPr>
      <w:rFonts w:ascii="Verdana" w:hAnsi="Verdana" w:cs="Verdana"/>
      <w:sz w:val="20"/>
      <w:szCs w:val="20"/>
      <w:lang w:val="en-US" w:eastAsia="en-US"/>
    </w:rPr>
  </w:style>
  <w:style w:type="paragraph" w:styleId="21" w:customStyle="1">
    <w:name w:val="Знак2"/>
    <w:basedOn w:val="Normal"/>
    <w:qFormat/>
    <w:rsid w:val="00f65662"/>
    <w:pPr>
      <w:spacing w:lineRule="exact" w:line="240" w:before="0" w:after="160"/>
      <w:ind w:hanging="0"/>
      <w:jc w:val="left"/>
    </w:pPr>
    <w:rPr>
      <w:rFonts w:ascii="Verdana" w:hAnsi="Verdana" w:cs="Verdana"/>
      <w:sz w:val="20"/>
      <w:szCs w:val="20"/>
      <w:lang w:val="en-US" w:eastAsia="en-US"/>
    </w:rPr>
  </w:style>
  <w:style w:type="paragraph" w:styleId="Style28" w:customStyle="1">
    <w:name w:val="Знак Знак Знак Знак Знак Знак Знак Знак Знак"/>
    <w:basedOn w:val="Normal"/>
    <w:qFormat/>
    <w:rsid w:val="007c5ecd"/>
    <w:pPr>
      <w:spacing w:lineRule="exact" w:line="240" w:before="0" w:after="160"/>
      <w:ind w:hanging="0"/>
    </w:pPr>
    <w:rPr>
      <w:rFonts w:ascii="Verdana" w:hAnsi="Verdana"/>
      <w:sz w:val="22"/>
      <w:szCs w:val="20"/>
      <w:lang w:val="en-US" w:eastAsia="en-US"/>
    </w:rPr>
  </w:style>
  <w:style w:type="paragraph" w:styleId="Style29" w:customStyle="1">
    <w:name w:val="Пункт договора"/>
    <w:basedOn w:val="Normal"/>
    <w:qFormat/>
    <w:rsid w:val="004d4328"/>
    <w:pPr>
      <w:widowControl w:val="false"/>
      <w:spacing w:lineRule="auto" w:line="240"/>
      <w:ind w:hanging="0"/>
    </w:pPr>
    <w:rPr>
      <w:rFonts w:ascii="Arial" w:hAnsi="Arial"/>
      <w:sz w:val="20"/>
      <w:szCs w:val="20"/>
    </w:rPr>
  </w:style>
  <w:style w:type="paragraph" w:styleId="Style30" w:customStyle="1">
    <w:name w:val="Подпункт договора"/>
    <w:basedOn w:val="Normal"/>
    <w:qFormat/>
    <w:rsid w:val="00617a62"/>
    <w:pPr>
      <w:tabs>
        <w:tab w:val="clear" w:pos="708"/>
        <w:tab w:val="left" w:pos="360" w:leader="none"/>
      </w:tabs>
      <w:spacing w:lineRule="auto" w:line="240"/>
      <w:ind w:hanging="0"/>
    </w:pPr>
    <w:rPr>
      <w:rFonts w:ascii="Arial" w:hAnsi="Arial"/>
      <w:sz w:val="20"/>
      <w:szCs w:val="20"/>
    </w:rPr>
  </w:style>
  <w:style w:type="paragraph" w:styleId="BodyTextIndent3">
    <w:name w:val="Body Text Indent 3"/>
    <w:basedOn w:val="Normal"/>
    <w:qFormat/>
    <w:rsid w:val="006329b9"/>
    <w:pPr>
      <w:spacing w:before="0" w:after="120"/>
      <w:ind w:firstLine="567" w:left="283"/>
    </w:pPr>
    <w:rPr>
      <w:sz w:val="16"/>
      <w:szCs w:val="16"/>
    </w:rPr>
  </w:style>
  <w:style w:type="paragraph" w:styleId="ListParagraph">
    <w:name w:val="List Paragraph"/>
    <w:basedOn w:val="Normal"/>
    <w:link w:val="Style16"/>
    <w:uiPriority w:val="34"/>
    <w:qFormat/>
    <w:rsid w:val="005f3f9e"/>
    <w:pPr>
      <w:spacing w:lineRule="auto" w:line="240" w:before="0" w:after="0"/>
      <w:ind w:hanging="0" w:left="720"/>
      <w:contextualSpacing/>
      <w:jc w:val="left"/>
    </w:pPr>
    <w:rPr>
      <w:sz w:val="24"/>
      <w:szCs w:val="24"/>
    </w:rPr>
  </w:style>
  <w:style w:type="paragraph" w:styleId="12" w:customStyle="1">
    <w:name w:val="1. Статья"/>
    <w:basedOn w:val="Heading3"/>
    <w:link w:val="1"/>
    <w:qFormat/>
    <w:rsid w:val="005f4a86"/>
    <w:pPr>
      <w:keepNext w:val="false"/>
      <w:widowControl w:val="false"/>
      <w:tabs>
        <w:tab w:val="clear" w:pos="708"/>
        <w:tab w:val="left" w:pos="2340" w:leader="none"/>
      </w:tabs>
      <w:suppressAutoHyphens w:val="false"/>
      <w:overflowPunct w:val="true"/>
      <w:spacing w:before="0" w:after="0"/>
      <w:ind w:hanging="0" w:right="1462"/>
      <w:jc w:val="center"/>
      <w:textAlignment w:val="baseline"/>
    </w:pPr>
    <w:rPr>
      <w:b w:val="false"/>
      <w:sz w:val="24"/>
      <w:szCs w:val="24"/>
    </w:rPr>
  </w:style>
  <w:style w:type="paragraph" w:styleId="22" w:customStyle="1">
    <w:name w:val="2. Пункт"/>
    <w:basedOn w:val="Heading3"/>
    <w:qFormat/>
    <w:rsid w:val="005f4a86"/>
    <w:pPr>
      <w:keepNext w:val="false"/>
      <w:widowControl w:val="false"/>
      <w:suppressAutoHyphens w:val="false"/>
      <w:overflowPunct w:val="true"/>
      <w:spacing w:before="0" w:after="0"/>
      <w:jc w:val="both"/>
      <w:textAlignment w:val="baseline"/>
    </w:pPr>
    <w:rPr>
      <w:b w:val="false"/>
      <w:sz w:val="24"/>
      <w:szCs w:val="24"/>
    </w:rPr>
  </w:style>
  <w:style w:type="paragraph" w:styleId="33" w:customStyle="1">
    <w:name w:val="3. Подпункт"/>
    <w:basedOn w:val="Heading3"/>
    <w:link w:val="31"/>
    <w:qFormat/>
    <w:rsid w:val="005f4a86"/>
    <w:pPr>
      <w:keepNext w:val="false"/>
      <w:widowControl w:val="false"/>
      <w:tabs>
        <w:tab w:val="clear" w:pos="708"/>
        <w:tab w:val="left" w:pos="1620" w:leader="none"/>
      </w:tabs>
      <w:suppressAutoHyphens w:val="false"/>
      <w:overflowPunct w:val="true"/>
      <w:spacing w:before="0" w:after="0"/>
      <w:jc w:val="both"/>
      <w:textAlignment w:val="baseline"/>
    </w:pPr>
    <w:rPr>
      <w:bCs/>
      <w:sz w:val="24"/>
      <w:szCs w:val="24"/>
    </w:rPr>
  </w:style>
  <w:style w:type="paragraph" w:styleId="ConsNormal" w:customStyle="1">
    <w:name w:val="ConsNormal"/>
    <w:qFormat/>
    <w:rsid w:val="008a113a"/>
    <w:pPr>
      <w:widowControl/>
      <w:suppressAutoHyphens w:val="true"/>
      <w:bidi w:val="0"/>
      <w:spacing w:before="0" w:after="0"/>
      <w:ind w:firstLine="720" w:right="19772"/>
      <w:jc w:val="left"/>
    </w:pPr>
    <w:rPr>
      <w:rFonts w:ascii="Arial" w:hAnsi="Arial" w:eastAsia="Times New Roman" w:cs="Times New Roman"/>
      <w:color w:val="00000A"/>
      <w:kern w:val="0"/>
      <w:sz w:val="32"/>
      <w:szCs w:val="20"/>
      <w:lang w:val="ru-RU" w:eastAsia="en-US" w:bidi="ar-SA"/>
    </w:rPr>
  </w:style>
  <w:style w:type="paragraph" w:styleId="BalloonText">
    <w:name w:val="Balloon Text"/>
    <w:basedOn w:val="Normal"/>
    <w:link w:val="Style7"/>
    <w:qFormat/>
    <w:rsid w:val="00dc2b59"/>
    <w:pPr>
      <w:spacing w:lineRule="auto" w:line="240"/>
    </w:pPr>
    <w:rPr>
      <w:rFonts w:ascii="Tahoma" w:hAnsi="Tahoma"/>
      <w:sz w:val="16"/>
      <w:szCs w:val="16"/>
      <w:lang w:val="x-none" w:eastAsia="x-none"/>
    </w:rPr>
  </w:style>
  <w:style w:type="paragraph" w:styleId="41" w:customStyle="1">
    <w:name w:val="4. Отчерк"/>
    <w:basedOn w:val="Normal"/>
    <w:link w:val="4"/>
    <w:qFormat/>
    <w:rsid w:val="00f50d64"/>
    <w:pPr>
      <w:widowControl w:val="false"/>
      <w:spacing w:lineRule="auto" w:line="240"/>
    </w:pPr>
    <w:rPr>
      <w:sz w:val="24"/>
      <w:szCs w:val="24"/>
      <w:lang w:val="x-none" w:eastAsia="x-none"/>
    </w:rPr>
  </w:style>
  <w:style w:type="paragraph" w:styleId="Annotationtext">
    <w:name w:val="annotation text"/>
    <w:basedOn w:val="Normal"/>
    <w:link w:val="Style8"/>
    <w:qFormat/>
    <w:rsid w:val="00f50d64"/>
    <w:pPr>
      <w:spacing w:lineRule="auto" w:line="240"/>
    </w:pPr>
    <w:rPr>
      <w:sz w:val="20"/>
      <w:szCs w:val="20"/>
      <w:lang w:val="x-none" w:eastAsia="x-none"/>
    </w:rPr>
  </w:style>
  <w:style w:type="paragraph" w:styleId="Annotationsubject">
    <w:name w:val="annotation subject"/>
    <w:basedOn w:val="Annotationtext"/>
    <w:link w:val="Style9"/>
    <w:qFormat/>
    <w:rsid w:val="00f50d64"/>
    <w:pPr/>
    <w:rPr>
      <w:b/>
      <w:bCs/>
    </w:rPr>
  </w:style>
  <w:style w:type="paragraph" w:styleId="Footer">
    <w:name w:val="Footer"/>
    <w:basedOn w:val="Normal"/>
    <w:link w:val="Style10"/>
    <w:uiPriority w:val="99"/>
    <w:rsid w:val="0043217c"/>
    <w:pPr>
      <w:tabs>
        <w:tab w:val="clear" w:pos="708"/>
        <w:tab w:val="center" w:pos="4677" w:leader="none"/>
        <w:tab w:val="right" w:pos="9355" w:leader="none"/>
      </w:tabs>
      <w:spacing w:lineRule="auto" w:line="240"/>
    </w:pPr>
    <w:rPr>
      <w:lang w:val="x-none" w:eastAsia="x-none"/>
    </w:rPr>
  </w:style>
  <w:style w:type="paragraph" w:styleId="Revision">
    <w:name w:val="Revision"/>
    <w:uiPriority w:val="99"/>
    <w:semiHidden/>
    <w:qFormat/>
    <w:rsid w:val="003003ef"/>
    <w:pPr>
      <w:widowControl/>
      <w:suppressAutoHyphens w:val="true"/>
      <w:bidi w:val="0"/>
      <w:spacing w:before="0" w:after="0"/>
      <w:jc w:val="left"/>
    </w:pPr>
    <w:rPr>
      <w:rFonts w:ascii="Times New Roman" w:hAnsi="Times New Roman" w:eastAsia="Times New Roman" w:cs="Times New Roman"/>
      <w:color w:val="00000A"/>
      <w:kern w:val="0"/>
      <w:sz w:val="28"/>
      <w:szCs w:val="28"/>
      <w:lang w:val="ru-RU" w:eastAsia="ru-RU" w:bidi="ar-SA"/>
    </w:rPr>
  </w:style>
  <w:style w:type="paragraph" w:styleId="Title" w:customStyle="1">
    <w:name w:val="Title"/>
    <w:basedOn w:val="Normal"/>
    <w:link w:val="Style11"/>
    <w:qFormat/>
    <w:rsid w:val="00ae674d"/>
    <w:pPr>
      <w:widowControl w:val="false"/>
      <w:overflowPunct w:val="true"/>
      <w:spacing w:lineRule="auto" w:line="240" w:before="0" w:after="120"/>
      <w:ind w:hanging="0"/>
      <w:jc w:val="center"/>
      <w:textAlignment w:val="baseline"/>
    </w:pPr>
    <w:rPr>
      <w:b/>
      <w:bCs/>
      <w:sz w:val="32"/>
      <w:szCs w:val="20"/>
    </w:rPr>
  </w:style>
  <w:style w:type="paragraph" w:styleId="BodyTextIndent">
    <w:name w:val="Body Text Indent"/>
    <w:basedOn w:val="Normal"/>
    <w:link w:val="Style12"/>
    <w:rsid w:val="00ae674d"/>
    <w:pPr>
      <w:spacing w:before="0" w:after="120"/>
      <w:ind w:firstLine="567" w:left="283"/>
    </w:pPr>
    <w:rPr>
      <w:lang w:val="x-none" w:eastAsia="x-none"/>
    </w:rPr>
  </w:style>
  <w:style w:type="paragraph" w:styleId="333" w:customStyle="1">
    <w:name w:val="Пункт 3.3.3"/>
    <w:basedOn w:val="Normal"/>
    <w:qFormat/>
    <w:rsid w:val="00ae674d"/>
    <w:pPr>
      <w:keepNext w:val="true"/>
      <w:keepLines/>
      <w:widowControl w:val="false"/>
      <w:tabs>
        <w:tab w:val="clear" w:pos="708"/>
        <w:tab w:val="left" w:pos="920" w:leader="none"/>
      </w:tabs>
      <w:overflowPunct w:val="true"/>
      <w:spacing w:lineRule="auto" w:line="240" w:before="240" w:after="240"/>
      <w:ind w:hanging="504" w:left="704"/>
      <w:jc w:val="left"/>
      <w:textAlignment w:val="baseline"/>
      <w:outlineLvl w:val="1"/>
    </w:pPr>
    <w:rPr>
      <w:sz w:val="24"/>
      <w:szCs w:val="20"/>
    </w:rPr>
  </w:style>
  <w:style w:type="paragraph" w:styleId="Caption1">
    <w:name w:val="caption1"/>
    <w:basedOn w:val="Normal"/>
    <w:next w:val="Normal"/>
    <w:qFormat/>
    <w:rsid w:val="00ae674d"/>
    <w:pPr>
      <w:widowControl w:val="false"/>
      <w:overflowPunct w:val="true"/>
      <w:spacing w:lineRule="auto" w:line="240" w:before="120" w:after="120"/>
      <w:ind w:hanging="0"/>
      <w:textAlignment w:val="baseline"/>
    </w:pPr>
    <w:rPr>
      <w:b/>
      <w:bCs/>
      <w:sz w:val="24"/>
      <w:szCs w:val="24"/>
    </w:rPr>
  </w:style>
  <w:style w:type="paragraph" w:styleId="13" w:customStyle="1">
    <w:name w:val="Знак1"/>
    <w:basedOn w:val="Normal"/>
    <w:qFormat/>
    <w:rsid w:val="00f43f0d"/>
    <w:pPr>
      <w:spacing w:lineRule="exact" w:line="240" w:before="0" w:after="160"/>
      <w:ind w:hanging="0"/>
      <w:jc w:val="left"/>
    </w:pPr>
    <w:rPr>
      <w:rFonts w:ascii="Verdana" w:hAnsi="Verdana" w:cs="Verdana"/>
      <w:sz w:val="20"/>
      <w:szCs w:val="20"/>
      <w:lang w:val="en-US" w:eastAsia="en-US"/>
    </w:rPr>
  </w:style>
  <w:style w:type="paragraph" w:styleId="-" w:customStyle="1">
    <w:name w:val="Контракт-раздел"/>
    <w:basedOn w:val="Normal"/>
    <w:qFormat/>
    <w:rsid w:val="00f43f0d"/>
    <w:pPr>
      <w:keepNext w:val="true"/>
      <w:keepLines/>
      <w:tabs>
        <w:tab w:val="clear" w:pos="708"/>
        <w:tab w:val="left" w:pos="0" w:leader="none"/>
        <w:tab w:val="left" w:pos="567" w:leader="none"/>
      </w:tabs>
      <w:suppressAutoHyphens w:val="true"/>
      <w:spacing w:lineRule="auto" w:line="240" w:before="360" w:after="120"/>
      <w:jc w:val="center"/>
      <w:textAlignment w:val="baseline"/>
      <w:outlineLvl w:val="1"/>
    </w:pPr>
    <w:rPr>
      <w:b/>
      <w:bCs/>
      <w:caps/>
    </w:rPr>
  </w:style>
  <w:style w:type="paragraph" w:styleId="-1" w:customStyle="1">
    <w:name w:val="Контракт-пункт"/>
    <w:basedOn w:val="Normal"/>
    <w:qFormat/>
    <w:rsid w:val="00f43f0d"/>
    <w:pPr/>
    <w:rPr/>
  </w:style>
  <w:style w:type="paragraph" w:styleId="-2" w:customStyle="1">
    <w:name w:val="Контракт-подпункт"/>
    <w:basedOn w:val="Normal"/>
    <w:qFormat/>
    <w:rsid w:val="00f43f0d"/>
    <w:pPr/>
    <w:rPr/>
  </w:style>
  <w:style w:type="paragraph" w:styleId="-3" w:customStyle="1">
    <w:name w:val="Контракт-подподпункт"/>
    <w:basedOn w:val="Normal"/>
    <w:qFormat/>
    <w:rsid w:val="00f43f0d"/>
    <w:pPr/>
    <w:rPr/>
  </w:style>
  <w:style w:type="paragraph" w:styleId="EndnoteSymbol">
    <w:name w:val="Endnote Symbol"/>
    <w:basedOn w:val="Normal"/>
    <w:link w:val="Style14"/>
    <w:uiPriority w:val="99"/>
    <w:semiHidden/>
    <w:unhideWhenUsed/>
    <w:qFormat/>
    <w:rsid w:val="008c02d8"/>
    <w:pPr/>
    <w:rPr>
      <w:sz w:val="20"/>
      <w:szCs w:val="20"/>
      <w:lang w:val="x-none" w:eastAsia="x-none"/>
    </w:rPr>
  </w:style>
  <w:style w:type="paragraph" w:styleId="Style31">
    <w:name w:val="Содержимое таблицы"/>
    <w:basedOn w:val="Normal"/>
    <w:qFormat/>
    <w:pPr>
      <w:widowControl w:val="false"/>
      <w:suppressLineNumbers/>
    </w:pPr>
    <w:rPr/>
  </w:style>
  <w:style w:type="paragraph" w:styleId="Style32">
    <w:name w:val="Заголовок таблицы"/>
    <w:basedOn w:val="Style31"/>
    <w:qFormat/>
    <w:pPr>
      <w:suppressLineNumbers/>
      <w:jc w:val="center"/>
    </w:pPr>
    <w:rPr>
      <w:b/>
      <w:bCs/>
    </w:rPr>
  </w:style>
  <w:style w:type="paragraph" w:styleId="14">
    <w:name w:val="Знак Знак Знак Знак Знак Знак Знак Знак Знак1"/>
    <w:basedOn w:val="Normal"/>
    <w:qFormat/>
    <w:pPr>
      <w:spacing w:lineRule="exact" w:line="240" w:before="0" w:after="160"/>
      <w:jc w:val="both"/>
    </w:pPr>
    <w:rPr>
      <w:rFonts w:ascii="Verdana" w:hAnsi="Verdana" w:cs="Verdana"/>
      <w:sz w:val="22"/>
      <w:szCs w:val="20"/>
      <w:lang w:val="en-US"/>
    </w:rPr>
  </w:style>
  <w:style w:type="paragraph" w:styleId="ConsPlusNonformat">
    <w:name w:val="ConsPlusNonformat"/>
    <w:qFormat/>
    <w:pPr>
      <w:widowControl/>
      <w:suppressAutoHyphens w:val="true"/>
      <w:bidi w:val="0"/>
      <w:spacing w:before="0" w:after="0"/>
      <w:jc w:val="left"/>
    </w:pPr>
    <w:rPr>
      <w:rFonts w:ascii="Courier New" w:hAnsi="Courier New" w:eastAsia="Calibri" w:cs="Courier New"/>
      <w:color w:val="auto"/>
      <w:kern w:val="0"/>
      <w:sz w:val="20"/>
      <w:szCs w:val="20"/>
      <w:lang w:val="ru-RU" w:eastAsia="zh-CN" w:bidi="ar-SA"/>
    </w:rPr>
  </w:style>
  <w:style w:type="paragraph" w:styleId="34">
    <w:name w:val="Основной текст 3"/>
    <w:basedOn w:val="Normal"/>
    <w:qFormat/>
    <w:pPr>
      <w:jc w:val="both"/>
    </w:pPr>
    <w:rPr>
      <w:color w:val="0000FF"/>
      <w:lang w:val="ru-RU"/>
    </w:rPr>
  </w:style>
  <w:style w:type="paragraph" w:styleId="Style33">
    <w:name w:val="Абзац списка"/>
    <w:basedOn w:val="Normal"/>
    <w:qFormat/>
    <w:pPr>
      <w:ind w:hanging="0" w:left="708" w:right="0"/>
    </w:pPr>
    <w:rPr/>
  </w:style>
  <w:style w:type="paragraph" w:styleId="U">
    <w:name w:val="u"/>
    <w:basedOn w:val="Normal"/>
    <w:qFormat/>
    <w:pPr>
      <w:ind w:firstLine="390" w:left="0" w:right="0"/>
      <w:jc w:val="both"/>
    </w:pPr>
    <w:rPr/>
  </w:style>
  <w:style w:type="paragraph" w:styleId="Style34">
    <w:name w:val="Текст выноски"/>
    <w:basedOn w:val="Normal"/>
    <w:qFormat/>
    <w:pPr/>
    <w:rPr>
      <w:rFonts w:ascii="Tahoma" w:hAnsi="Tahoma" w:cs="Tahoma"/>
      <w:sz w:val="16"/>
      <w:szCs w:val="16"/>
    </w:rPr>
  </w:style>
  <w:style w:type="paragraph" w:styleId="Style35">
    <w:name w:val="Рецензия"/>
    <w:qFormat/>
    <w:pPr>
      <w:widowControl/>
      <w:suppressAutoHyphens w:val="true"/>
      <w:bidi w:val="0"/>
      <w:spacing w:before="0" w:after="0"/>
      <w:jc w:val="left"/>
    </w:pPr>
    <w:rPr>
      <w:rFonts w:ascii="Times New Roman" w:hAnsi="Times New Roman" w:eastAsia="Times New Roman" w:cs="Times New Roman"/>
      <w:color w:val="auto"/>
      <w:kern w:val="0"/>
      <w:sz w:val="24"/>
      <w:szCs w:val="24"/>
      <w:lang w:val="ru-RU" w:eastAsia="zh-CN" w:bidi="ar-SA"/>
    </w:rPr>
  </w:style>
  <w:style w:type="paragraph" w:styleId="Style36">
    <w:name w:val="Тема примечания"/>
    <w:basedOn w:val="Style37"/>
    <w:next w:val="Style37"/>
    <w:qFormat/>
    <w:pPr/>
    <w:rPr>
      <w:b/>
      <w:bCs/>
    </w:rPr>
  </w:style>
  <w:style w:type="paragraph" w:styleId="Style37">
    <w:name w:val="Текст примечания"/>
    <w:basedOn w:val="Normal"/>
    <w:qFormat/>
    <w:pPr/>
    <w:rPr>
      <w:sz w:val="20"/>
      <w:szCs w:val="20"/>
    </w:rPr>
  </w:style>
  <w:style w:type="paragraph" w:styleId="Preformat">
    <w:name w:val="Preformat"/>
    <w:qFormat/>
    <w:pPr>
      <w:widowControl/>
      <w:suppressAutoHyphens w:val="true"/>
      <w:bidi w:val="0"/>
      <w:spacing w:before="0" w:after="0"/>
      <w:jc w:val="left"/>
    </w:pPr>
    <w:rPr>
      <w:rFonts w:ascii="Courier New" w:hAnsi="Courier New" w:eastAsia="Times New Roman" w:cs="Courier New"/>
      <w:color w:val="auto"/>
      <w:kern w:val="0"/>
      <w:sz w:val="20"/>
      <w:szCs w:val="20"/>
      <w:lang w:val="ru-RU" w:eastAsia="zh-CN" w:bidi="ar-SA"/>
    </w:rPr>
  </w:style>
  <w:style w:type="paragraph" w:styleId="Caption111">
    <w:name w:val="Caption111"/>
    <w:basedOn w:val="Normal"/>
    <w:qFormat/>
    <w:pPr>
      <w:suppressLineNumbers/>
      <w:spacing w:before="120" w:after="120"/>
    </w:pPr>
    <w:rPr>
      <w:rFonts w:cs="Lohit Devanagari"/>
      <w:i/>
      <w:iCs/>
      <w:sz w:val="24"/>
      <w:szCs w:val="24"/>
    </w:rPr>
  </w:style>
  <w:style w:type="paragraph" w:styleId="Caption11">
    <w:name w:val="Caption11"/>
    <w:basedOn w:val="Normal"/>
    <w:qFormat/>
    <w:pPr>
      <w:suppressLineNumbers/>
      <w:spacing w:before="120" w:after="120"/>
    </w:pPr>
    <w:rPr>
      <w:rFonts w:cs="Lohit Devanagari"/>
      <w:i/>
      <w:iCs/>
      <w:sz w:val="24"/>
      <w:szCs w:val="24"/>
    </w:rPr>
  </w:style>
  <w:style w:type="paragraph" w:styleId="Caption12">
    <w:name w:val="Caption12"/>
    <w:basedOn w:val="Normal"/>
    <w:qFormat/>
    <w:pPr>
      <w:suppressLineNumbers/>
      <w:spacing w:before="120" w:after="120"/>
    </w:pPr>
    <w:rPr>
      <w:rFonts w:cs="Lohit Devanagari"/>
      <w:i/>
      <w:iCs/>
      <w:sz w:val="24"/>
      <w:szCs w:val="24"/>
    </w:rPr>
  </w:style>
  <w:style w:type="paragraph" w:styleId="Caption2">
    <w:name w:val="Caption2"/>
    <w:basedOn w:val="Normal"/>
    <w:qFormat/>
    <w:pPr>
      <w:suppressLineNumbers/>
      <w:spacing w:before="120" w:after="120"/>
    </w:pPr>
    <w:rPr>
      <w:rFonts w:cs="Lohit Devanagari"/>
      <w:i/>
      <w:iCs/>
      <w:sz w:val="24"/>
      <w:szCs w:val="24"/>
    </w:rPr>
  </w:style>
  <w:style w:type="numbering" w:styleId="NoList" w:default="1">
    <w:name w:val="No List"/>
    <w:uiPriority w:val="99"/>
    <w:semiHidden/>
    <w:unhideWhenUsed/>
    <w:qFormat/>
  </w:style>
  <w:style w:type="numbering" w:styleId="WW8Num3">
    <w:name w:val="WW8Num3"/>
    <w:qFormat/>
  </w:style>
  <w:style w:type="numbering" w:styleId="WW8Num1">
    <w:name w:val="WW8Num1"/>
    <w:qFormat/>
  </w:style>
  <w:style w:type="numbering" w:styleId="WW8Num2">
    <w:name w:val="WW8Num2"/>
    <w:qFormat/>
  </w:style>
  <w:style w:type="numbering" w:styleId="WW8Num4">
    <w:name w:val="WW8Num4"/>
    <w:qFormat/>
  </w:style>
  <w:style w:type="numbering" w:styleId="WW8Num5">
    <w:name w:val="WW8Num5"/>
    <w:qFormat/>
  </w:style>
  <w:style w:type="numbering" w:styleId="WW8Num6">
    <w:name w:val="WW8Num6"/>
    <w:qFormat/>
  </w:style>
  <w:style w:type="numbering" w:styleId="WW8Num7">
    <w:name w:val="WW8Num7"/>
    <w:qFormat/>
  </w:style>
  <w:style w:type="numbering" w:styleId="WW8Num8">
    <w:name w:val="WW8Num8"/>
    <w:qFormat/>
  </w:style>
  <w:style w:type="numbering" w:styleId="WW8Num9">
    <w:name w:val="WW8Num9"/>
    <w:qFormat/>
  </w:style>
  <w:style w:type="numbering" w:styleId="WW8Num10">
    <w:name w:val="WW8Num10"/>
    <w:qFormat/>
  </w:style>
  <w:style w:type="table" w:default="1" w:styleId="a1">
    <w:name w:val="Normal Table"/>
    <w:uiPriority w:val="99"/>
    <w:semiHidden/>
    <w:unhideWhenUsed/>
    <w:tblPr>
      <w:tblCellMar>
        <w:top w:w="0" w:type="dxa"/>
        <w:left w:w="108" w:type="dxa"/>
        <w:bottom w:w="0" w:type="dxa"/>
        <w:right w:w="108" w:type="dxa"/>
      </w:tblCellMar>
    </w:tblPr>
  </w:style>
  <w:style w:type="table" w:styleId="a9">
    <w:name w:val="Table Grid"/>
    <w:basedOn w:val="a1"/>
    <w:rsid w:val="00336503"/>
    <w:pPr>
      <w:spacing w:line="360" w:lineRule="auto"/>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hyperlink" Target="consultantplus://offline/ref=94D5CE8889791A29DE57299515463A9D6134D8237B999C803E6F853513x2A2P" TargetMode="External"/><Relationship Id="rId3" Type="http://schemas.openxmlformats.org/officeDocument/2006/relationships/hyperlink" Target="consultantplus://offline/ref=94D5CE8889791A29DE57299515463A9D6135D2287D929C803E6F853513x2A2P" TargetMode="External"/><Relationship Id="rId4"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header" Target="header1.xml"/><Relationship Id="rId6" Type="http://schemas.openxmlformats.org/officeDocument/2006/relationships/header" Target="header2.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notes" Target="footnotes.xml"/><Relationship Id="rId10" Type="http://schemas.openxmlformats.org/officeDocument/2006/relationships/numbering" Target="numbering.xml"/><Relationship Id="rId11" Type="http://schemas.openxmlformats.org/officeDocument/2006/relationships/fontTable" Target="fontTable.xml"/><Relationship Id="rId12" Type="http://schemas.openxmlformats.org/officeDocument/2006/relationships/settings" Target="settings.xml"/><Relationship Id="rId13" Type="http://schemas.openxmlformats.org/officeDocument/2006/relationships/theme" Target="theme/theme1.xml"/><Relationship Id="rId14" Type="http://schemas.openxmlformats.org/officeDocument/2006/relationships/customXml" Target="../customXml/item1.xml"/><Relationship Id="rId15" Type="http://schemas.openxmlformats.org/officeDocument/2006/relationships/customXml" Target="../customXml/item2.xml"/><Relationship Id="rId16" Type="http://schemas.openxmlformats.org/officeDocument/2006/relationships/customXml" Target="../customXml/item3.xml"/><Relationship Id="rId17" Type="http://schemas.openxmlformats.org/officeDocument/2006/relationships/customXml" Target="../customXml/item4.xml"/><Relationship Id="rId18" Type="http://schemas.openxmlformats.org/officeDocument/2006/relationships/customXml" Target="../customXml/item5.xml"/>
</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Relationships xmlns="http://schemas.openxmlformats.org/package/2006/relationships"><Relationship Id="rId1" Type="http://schemas.openxmlformats.org/officeDocument/2006/relationships/customXmlProps" Target="itemProps1.xml"/>
</Relationships>
</file>

<file path=customXml/_rels/item2.xml.rels><?xml version="1.0" encoding="UTF-8"?>
<Relationships xmlns="http://schemas.openxmlformats.org/package/2006/relationships"><Relationship Id="rId1" Type="http://schemas.openxmlformats.org/officeDocument/2006/relationships/customXmlProps" Target="itemProps2.xml"/>
</Relationships>
</file>

<file path=customXml/_rels/item3.xml.rels><?xml version="1.0" encoding="UTF-8"?>
<Relationships xmlns="http://schemas.openxmlformats.org/package/2006/relationships"><Relationship Id="rId1" Type="http://schemas.openxmlformats.org/officeDocument/2006/relationships/customXmlProps" Target="itemProps3.xml"/>
</Relationships>
</file>

<file path=customXml/_rels/item4.xml.rels><?xml version="1.0" encoding="UTF-8"?>
<Relationships xmlns="http://schemas.openxmlformats.org/package/2006/relationships"><Relationship Id="rId1" Type="http://schemas.openxmlformats.org/officeDocument/2006/relationships/customXmlProps" Target="itemProps4.xml"/>
</Relationships>
</file>

<file path=customXml/_rels/item5.xml.rels><?xml version="1.0" encoding="UTF-8"?>
<Relationships xmlns="http://schemas.openxmlformats.org/package/2006/relationships"><Relationship Id="rId1" Type="http://schemas.openxmlformats.org/officeDocument/2006/relationships/customXmlProps" Target="itemProps5.xml"/>
</Relationships>
</file>

<file path=customXml/item1.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9EA690-B79B-4E85-8E80-B2F3A394B8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1185905A-A849-4DFE-9DCC-7F92ED66E4B2}">
  <ds:schemaRefs>
    <ds:schemaRef ds:uri="http://schemas.microsoft.com/sharepoint/v3/contenttype/forms"/>
  </ds:schemaRefs>
</ds:datastoreItem>
</file>

<file path=customXml/itemProps3.xml><?xml version="1.0" encoding="utf-8"?>
<ds:datastoreItem xmlns:ds="http://schemas.openxmlformats.org/officeDocument/2006/customXml" ds:itemID="{C1258912-A860-4625-B7F6-93D124AA8AD6}">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E8D27809-B149-4A86-8A08-95064CBFBF4E}">
  <ds:schemaRefs>
    <ds:schemaRef ds:uri="http://schemas.openxmlformats.org/officeDocument/2006/bibliography"/>
  </ds:schemaRefs>
</ds:datastoreItem>
</file>

<file path=customXml/itemProps5.xml><?xml version="1.0" encoding="utf-8"?>
<ds:datastoreItem xmlns:ds="http://schemas.openxmlformats.org/officeDocument/2006/customXml" ds:itemID="{6DA4F32F-B54E-4EE0-BF96-3AE8B6401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274</TotalTime>
  <Application>AlterOffice/2026.2.0.0$Linux_X86_64 LibreOffice_project/bc4ef1adf80b36c7a6365f8ed6cbf29021361edd</Application>
  <AppVersion>15.0000</AppVersion>
  <Pages>31</Pages>
  <Words>10599</Words>
  <Characters>75941</Characters>
  <CharactersWithSpaces>86186</CharactersWithSpaces>
  <Paragraphs>595</Paragraphs>
  <Company>УК ГидроОГК</Compan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2022-11-01T07:38:00Z</dcterms:created>
  <dc:creator>UK VoHEC</dc:creator>
  <dc:description/>
  <dc:language>ru-RU</dc:language>
  <cp:lastModifiedBy>evsyukov_ka</cp:lastModifiedBy>
  <cp:lastPrinted>2020-03-18T05:20:00Z</cp:lastPrinted>
  <dcterms:modified xsi:type="dcterms:W3CDTF">2026-09-02T08:44:28Z</dcterms:modified>
  <cp:revision>27</cp:revision>
  <dc:subject/>
  <dc:title>ДОГОВОР № ____</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DOID">
    <vt:r8>0</vt:r8>
  </property>
</Properties>
</file>